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412DE" w14:textId="27464195"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#9</w:t>
      </w:r>
      <w:r w:rsidR="00326871">
        <w:rPr>
          <w:rFonts w:cs="Arial"/>
          <w:bCs/>
          <w:sz w:val="24"/>
          <w:szCs w:val="24"/>
        </w:rPr>
        <w:t>8</w:t>
      </w:r>
      <w:r w:rsidRPr="00A6312F">
        <w:rPr>
          <w:rFonts w:cs="Arial"/>
          <w:bCs/>
          <w:sz w:val="24"/>
          <w:szCs w:val="24"/>
        </w:rPr>
        <w:t>-e</w:t>
      </w:r>
      <w:r w:rsidRPr="00A6312F">
        <w:rPr>
          <w:rFonts w:cs="Arial"/>
          <w:bCs/>
          <w:sz w:val="24"/>
          <w:szCs w:val="24"/>
        </w:rPr>
        <w:tab/>
      </w:r>
      <w:r w:rsidR="00701AB8" w:rsidRPr="00701AB8">
        <w:rPr>
          <w:rFonts w:cs="Arial"/>
          <w:bCs/>
          <w:sz w:val="24"/>
          <w:szCs w:val="24"/>
        </w:rPr>
        <w:t>R4-2102618</w:t>
      </w:r>
    </w:p>
    <w:p w14:paraId="73749A53" w14:textId="563E2C40"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326871">
        <w:rPr>
          <w:rFonts w:cs="Arial"/>
          <w:sz w:val="24"/>
        </w:rPr>
        <w:t>25</w:t>
      </w:r>
      <w:r w:rsidR="00AB7062" w:rsidRPr="001B28D7">
        <w:rPr>
          <w:rFonts w:cs="Arial"/>
          <w:sz w:val="24"/>
        </w:rPr>
        <w:t xml:space="preserve"> </w:t>
      </w:r>
      <w:r w:rsidR="00326871">
        <w:rPr>
          <w:rFonts w:cs="Arial"/>
          <w:sz w:val="24"/>
        </w:rPr>
        <w:t>January</w:t>
      </w:r>
      <w:r w:rsidR="00AB7062" w:rsidRPr="001B28D7">
        <w:rPr>
          <w:rFonts w:cs="Arial"/>
          <w:sz w:val="24"/>
        </w:rPr>
        <w:t xml:space="preserve"> - </w:t>
      </w:r>
      <w:r w:rsidR="00326871">
        <w:rPr>
          <w:rFonts w:cs="Arial"/>
          <w:sz w:val="24"/>
        </w:rPr>
        <w:t>5</w:t>
      </w:r>
      <w:r w:rsidR="00AB7062" w:rsidRPr="001B28D7">
        <w:rPr>
          <w:rFonts w:cs="Arial"/>
          <w:sz w:val="24"/>
        </w:rPr>
        <w:t xml:space="preserve"> </w:t>
      </w:r>
      <w:r w:rsidR="00326871">
        <w:rPr>
          <w:rFonts w:cs="Arial"/>
          <w:sz w:val="24"/>
        </w:rPr>
        <w:t>February</w:t>
      </w:r>
      <w:r w:rsidR="00AB7062">
        <w:rPr>
          <w:rFonts w:cs="Arial"/>
          <w:sz w:val="24"/>
        </w:rPr>
        <w:t xml:space="preserve"> 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0F2A114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43C3B" w:rsidRPr="00343C3B">
        <w:rPr>
          <w:rFonts w:ascii="Arial" w:hAnsi="Arial" w:cs="Arial"/>
          <w:sz w:val="24"/>
          <w:szCs w:val="24"/>
        </w:rPr>
        <w:t>12.1.7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2AE040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6026FE">
        <w:rPr>
          <w:rFonts w:ascii="Arial" w:hAnsi="Arial" w:cs="Arial"/>
          <w:sz w:val="24"/>
          <w:szCs w:val="24"/>
        </w:rPr>
        <w:t>On Test Time Enhancements</w:t>
      </w:r>
      <w:bookmarkEnd w:id="4"/>
      <w:r w:rsidR="006026FE">
        <w:rPr>
          <w:rFonts w:ascii="Arial" w:hAnsi="Arial" w:cs="Arial"/>
          <w:sz w:val="24"/>
          <w:szCs w:val="24"/>
        </w:rPr>
        <w:t xml:space="preserve"> based on different Antenna Array Assumptions</w:t>
      </w:r>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57556E55" w:rsidR="00241706" w:rsidRPr="00241706" w:rsidRDefault="006026FE" w:rsidP="00241706">
      <w:pPr>
        <w:ind w:left="48"/>
        <w:rPr>
          <w:rFonts w:eastAsia="Batang"/>
        </w:rPr>
      </w:pPr>
      <w:r>
        <w:rPr>
          <w:rFonts w:eastAsia="Batang"/>
        </w:rPr>
        <w:t xml:space="preserve">This contribution is addressing the action item on new measurement grids from the last WF </w:t>
      </w:r>
      <w:r>
        <w:rPr>
          <w:rFonts w:eastAsia="Batang"/>
        </w:rPr>
        <w:fldChar w:fldCharType="begin"/>
      </w:r>
      <w:r>
        <w:rPr>
          <w:rFonts w:eastAsia="Batang"/>
        </w:rPr>
        <w:instrText xml:space="preserve"> REF _Ref59190526 \n \h </w:instrText>
      </w:r>
      <w:r>
        <w:rPr>
          <w:rFonts w:eastAsia="Batang"/>
        </w:rPr>
      </w:r>
      <w:r>
        <w:rPr>
          <w:rFonts w:eastAsia="Batang"/>
        </w:rPr>
        <w:fldChar w:fldCharType="separate"/>
      </w:r>
      <w:r w:rsidR="002105E8">
        <w:rPr>
          <w:rFonts w:eastAsia="Batang"/>
        </w:rPr>
        <w:t>[1]</w:t>
      </w:r>
      <w:r>
        <w:rPr>
          <w:rFonts w:eastAsia="Batang"/>
        </w:rPr>
        <w:fldChar w:fldCharType="end"/>
      </w:r>
      <w:r>
        <w:rPr>
          <w:rFonts w:eastAsia="Batang"/>
        </w:rPr>
        <w:t xml:space="preserve">. </w:t>
      </w:r>
    </w:p>
    <w:p w14:paraId="3595238E" w14:textId="77777777" w:rsidR="0053435C" w:rsidRDefault="00AF0F4C" w:rsidP="0053435C">
      <w:pPr>
        <w:pStyle w:val="Heading1"/>
        <w:ind w:left="567" w:hanging="567"/>
      </w:pPr>
      <w:r>
        <w:t>Discussion</w:t>
      </w:r>
    </w:p>
    <w:p w14:paraId="3595238F" w14:textId="7596E54C" w:rsidR="00E03F11" w:rsidRDefault="006026FE" w:rsidP="00E03F11">
      <w:r>
        <w:t xml:space="preserve">The last WF on testability enhancements to reduce test time </w:t>
      </w:r>
      <w:r>
        <w:fldChar w:fldCharType="begin"/>
      </w:r>
      <w:r>
        <w:instrText xml:space="preserve"> REF _Ref59190526 \n \h </w:instrText>
      </w:r>
      <w:r>
        <w:fldChar w:fldCharType="separate"/>
      </w:r>
      <w:r w:rsidR="002105E8">
        <w:t>[1]</w:t>
      </w:r>
      <w:r>
        <w:fldChar w:fldCharType="end"/>
      </w:r>
      <w:r>
        <w:t xml:space="preserve"> discussed the potential to introduce an alternate or augmented antenna array assumption for PC3 devices</w:t>
      </w:r>
    </w:p>
    <w:tbl>
      <w:tblPr>
        <w:tblStyle w:val="TableGrid"/>
        <w:tblW w:w="0" w:type="auto"/>
        <w:tblLook w:val="04A0" w:firstRow="1" w:lastRow="0" w:firstColumn="1" w:lastColumn="0" w:noHBand="0" w:noVBand="1"/>
      </w:tblPr>
      <w:tblGrid>
        <w:gridCol w:w="9631"/>
      </w:tblGrid>
      <w:tr w:rsidR="006026FE" w14:paraId="0015F06E" w14:textId="77777777" w:rsidTr="006026FE">
        <w:tc>
          <w:tcPr>
            <w:tcW w:w="9631" w:type="dxa"/>
          </w:tcPr>
          <w:p w14:paraId="7D79CA1A" w14:textId="77777777" w:rsidR="006026FE" w:rsidRPr="006026FE" w:rsidRDefault="006026FE" w:rsidP="006026FE">
            <w:pPr>
              <w:numPr>
                <w:ilvl w:val="0"/>
                <w:numId w:val="41"/>
              </w:numPr>
              <w:rPr>
                <w:lang w:val="en-US"/>
              </w:rPr>
            </w:pPr>
            <w:r w:rsidRPr="006026FE">
              <w:rPr>
                <w:lang w:val="en-US"/>
              </w:rPr>
              <w:t>Option2: Adopt 4x2 array as the antenna assumption for deriving measurement grid for PC3, especially for smart phone UE.</w:t>
            </w:r>
          </w:p>
          <w:p w14:paraId="3A198527" w14:textId="3040CF79" w:rsidR="006026FE" w:rsidRPr="006026FE" w:rsidRDefault="006026FE" w:rsidP="006026FE">
            <w:pPr>
              <w:numPr>
                <w:ilvl w:val="0"/>
                <w:numId w:val="41"/>
              </w:numPr>
              <w:rPr>
                <w:lang w:val="en-US"/>
              </w:rPr>
            </w:pPr>
            <w:r w:rsidRPr="006026FE">
              <w:rPr>
                <w:lang w:val="en-US"/>
              </w:rPr>
              <w:t>Option3: Develop two sets of measurement grids for PC3, one is the same as current grids based on 8x2 array assumption, the other is relatively sparse grids based on 4x2 assumption. Applicability depends on UE declaration</w:t>
            </w:r>
          </w:p>
        </w:tc>
      </w:tr>
    </w:tbl>
    <w:p w14:paraId="2E005CAA" w14:textId="30D34F60" w:rsidR="006026FE" w:rsidRDefault="006026FE" w:rsidP="00E03F11">
      <w:r>
        <w:t xml:space="preserve">During the initial SI on testability </w:t>
      </w:r>
      <w:r w:rsidR="00345617">
        <w:fldChar w:fldCharType="begin"/>
      </w:r>
      <w:r w:rsidR="00345617">
        <w:instrText xml:space="preserve"> REF _Ref59190769 \n \h </w:instrText>
      </w:r>
      <w:r w:rsidR="00345617">
        <w:fldChar w:fldCharType="separate"/>
      </w:r>
      <w:r w:rsidR="002105E8">
        <w:t>[2]</w:t>
      </w:r>
      <w:r w:rsidR="00345617">
        <w:fldChar w:fldCharType="end"/>
      </w:r>
      <w:r>
        <w:t xml:space="preserve">, </w:t>
      </w:r>
      <w:r w:rsidR="00345617">
        <w:t xml:space="preserve">various antenna array assumptions </w:t>
      </w:r>
      <w:r w:rsidR="002A1506">
        <w:t xml:space="preserve">were presented and discussed, e.g., 4x1 </w:t>
      </w:r>
      <w:r w:rsidR="00E54E70">
        <w:fldChar w:fldCharType="begin"/>
      </w:r>
      <w:r w:rsidR="00E54E70">
        <w:instrText xml:space="preserve"> REF _Ref59194940 \n \h </w:instrText>
      </w:r>
      <w:r w:rsidR="00E54E70">
        <w:fldChar w:fldCharType="separate"/>
      </w:r>
      <w:r w:rsidR="002105E8">
        <w:t>[3]</w:t>
      </w:r>
      <w:r w:rsidR="00E54E70">
        <w:fldChar w:fldCharType="end"/>
      </w:r>
      <w:r w:rsidR="00B240E1">
        <w:t xml:space="preserve"> </w:t>
      </w:r>
      <w:r w:rsidR="002A1506">
        <w:t>and later 8x2</w:t>
      </w:r>
      <w:r w:rsidR="00E54E70">
        <w:t xml:space="preserve"> </w:t>
      </w:r>
      <w:r w:rsidR="00E54E70">
        <w:fldChar w:fldCharType="begin"/>
      </w:r>
      <w:r w:rsidR="00E54E70">
        <w:instrText xml:space="preserve"> REF _Ref59194947 \n \h </w:instrText>
      </w:r>
      <w:r w:rsidR="00E54E70">
        <w:fldChar w:fldCharType="separate"/>
      </w:r>
      <w:r w:rsidR="002105E8">
        <w:t>[4]</w:t>
      </w:r>
      <w:r w:rsidR="00E54E70">
        <w:fldChar w:fldCharType="end"/>
      </w:r>
      <w:r w:rsidR="00E54E70">
        <w:t xml:space="preserve">. The latter was eventually defined as the </w:t>
      </w:r>
      <w:r w:rsidR="004D16F9">
        <w:t>worst-case</w:t>
      </w:r>
      <w:r w:rsidR="00E54E70">
        <w:t xml:space="preserve"> antenna assumption for PC3 devices and used as a baseline to define MU elements</w:t>
      </w:r>
      <w:r w:rsidR="008A6C37">
        <w:t xml:space="preserve">, </w:t>
      </w:r>
      <w:r w:rsidR="00E54E70">
        <w:t>and measurement grids</w:t>
      </w:r>
      <w:r w:rsidR="00B240E1">
        <w:t xml:space="preserve"> in RAN5 </w:t>
      </w:r>
      <w:r w:rsidR="00B240E1">
        <w:fldChar w:fldCharType="begin"/>
      </w:r>
      <w:r w:rsidR="00B240E1">
        <w:instrText xml:space="preserve"> REF _Ref59444468 \w \h </w:instrText>
      </w:r>
      <w:r w:rsidR="00B240E1">
        <w:fldChar w:fldCharType="separate"/>
      </w:r>
      <w:r w:rsidR="00B240E1">
        <w:t>[5]</w:t>
      </w:r>
      <w:r w:rsidR="00B240E1">
        <w:fldChar w:fldCharType="end"/>
      </w:r>
      <w:r w:rsidR="008A6C37">
        <w:t xml:space="preserve"> which then allowed the definition of </w:t>
      </w:r>
      <w:r w:rsidR="008A6C37" w:rsidRPr="008A6C37">
        <w:t>the Maximum Test System Uncertainty (MTSU)</w:t>
      </w:r>
      <w:r w:rsidR="008A6C37">
        <w:t xml:space="preserve"> and the Test Tolerances (TT) for test cases.</w:t>
      </w:r>
    </w:p>
    <w:p w14:paraId="2F8023AD" w14:textId="4B8385C6" w:rsidR="00E54E70" w:rsidRDefault="00E54E70" w:rsidP="00E03F11">
      <w:r>
        <w:t xml:space="preserve">As outlined in </w:t>
      </w:r>
      <w:r w:rsidR="00C710A3">
        <w:t>RAN4#97-e</w:t>
      </w:r>
      <w:r>
        <w:t xml:space="preserve"> WF </w:t>
      </w:r>
      <w:r>
        <w:fldChar w:fldCharType="begin"/>
      </w:r>
      <w:r>
        <w:instrText xml:space="preserve"> REF _Ref59190526 \n \h </w:instrText>
      </w:r>
      <w:r>
        <w:fldChar w:fldCharType="separate"/>
      </w:r>
      <w:r w:rsidR="002105E8">
        <w:t>[1]</w:t>
      </w:r>
      <w:r>
        <w:fldChar w:fldCharType="end"/>
      </w:r>
      <w:r>
        <w:t xml:space="preserve">, especially the </w:t>
      </w:r>
      <w:r w:rsidR="00534686">
        <w:t>beam peak searches</w:t>
      </w:r>
      <w:r w:rsidR="004D16F9">
        <w:t>, pre-requisite for all NR FR2 UE RF conformance test cases,</w:t>
      </w:r>
      <w:r w:rsidR="00534686">
        <w:t xml:space="preserve"> are concerning in terms of test time given the large number of grid points. </w:t>
      </w:r>
    </w:p>
    <w:tbl>
      <w:tblPr>
        <w:tblStyle w:val="TableGrid"/>
        <w:tblW w:w="0" w:type="auto"/>
        <w:tblLook w:val="04A0" w:firstRow="1" w:lastRow="0" w:firstColumn="1" w:lastColumn="0" w:noHBand="0" w:noVBand="1"/>
      </w:tblPr>
      <w:tblGrid>
        <w:gridCol w:w="9631"/>
      </w:tblGrid>
      <w:tr w:rsidR="00E54E70" w14:paraId="23B6D7C3" w14:textId="77777777" w:rsidTr="00E54E70">
        <w:tc>
          <w:tcPr>
            <w:tcW w:w="9631" w:type="dxa"/>
          </w:tcPr>
          <w:p w14:paraId="7A3B54D5" w14:textId="77777777" w:rsidR="00E54E70" w:rsidRPr="00E54E70" w:rsidRDefault="00E54E70" w:rsidP="00E54E70">
            <w:pPr>
              <w:rPr>
                <w:lang w:val="en-US"/>
              </w:rPr>
            </w:pPr>
            <w:r w:rsidRPr="00E54E70">
              <w:rPr>
                <w:lang w:val="en-US"/>
              </w:rPr>
              <w:t xml:space="preserve">The measurement grids for PC3 peak searching is </w:t>
            </w:r>
            <w:r w:rsidRPr="00E54E70">
              <w:rPr>
                <w:i/>
                <w:iCs/>
                <w:lang w:val="en-US"/>
              </w:rPr>
              <w:t>800 with constant density</w:t>
            </w:r>
            <w:r w:rsidRPr="00E54E70">
              <w:rPr>
                <w:lang w:val="en-US"/>
              </w:rPr>
              <w:t xml:space="preserve">, and </w:t>
            </w:r>
            <w:r w:rsidRPr="00E54E70">
              <w:rPr>
                <w:i/>
                <w:iCs/>
                <w:lang w:val="en-US"/>
              </w:rPr>
              <w:t>1106 with constant step size</w:t>
            </w:r>
            <w:r w:rsidRPr="00E54E70">
              <w:rPr>
                <w:lang w:val="en-US"/>
              </w:rPr>
              <w:t>, defined in Annex G of TR 38.810.</w:t>
            </w:r>
          </w:p>
          <w:p w14:paraId="51326ADC" w14:textId="77777777" w:rsidR="00E54E70" w:rsidRPr="00E54E70" w:rsidRDefault="00E54E70" w:rsidP="00E54E70">
            <w:pPr>
              <w:rPr>
                <w:lang w:val="en-US"/>
              </w:rPr>
            </w:pPr>
            <w:r w:rsidRPr="00E54E70">
              <w:rPr>
                <w:lang w:val="en-US"/>
              </w:rPr>
              <w:t>Based on the estimated testing time of each step presented in [1], the total testing time:</w:t>
            </w:r>
          </w:p>
          <w:p w14:paraId="163A60F3" w14:textId="77777777" w:rsidR="00E54E70" w:rsidRPr="00E54E70" w:rsidRDefault="00E54E70" w:rsidP="00E54E70">
            <w:pPr>
              <w:rPr>
                <w:lang w:val="en-US"/>
              </w:rPr>
            </w:pPr>
            <w:r w:rsidRPr="00E54E70">
              <w:t>The EIRP</w:t>
            </w:r>
            <w:r w:rsidRPr="00E54E70">
              <w:rPr>
                <w:lang w:val="en-US"/>
              </w:rPr>
              <w:t xml:space="preserve"> beam peak </w:t>
            </w:r>
            <w:proofErr w:type="gramStart"/>
            <w:r w:rsidRPr="00E54E70">
              <w:rPr>
                <w:lang w:val="en-US"/>
              </w:rPr>
              <w:t>searching  with</w:t>
            </w:r>
            <w:proofErr w:type="gramEnd"/>
            <w:r w:rsidRPr="00E54E70">
              <w:rPr>
                <w:lang w:val="en-US"/>
              </w:rPr>
              <w:t xml:space="preserve"> constant step size for one frequency, ~8878s=2.5h</w:t>
            </w:r>
          </w:p>
          <w:p w14:paraId="58A61AC0" w14:textId="77777777" w:rsidR="00E54E70" w:rsidRPr="00E54E70" w:rsidRDefault="00E54E70" w:rsidP="00E54E70">
            <w:pPr>
              <w:rPr>
                <w:lang w:val="en-US"/>
              </w:rPr>
            </w:pPr>
            <w:r w:rsidRPr="00E54E70">
              <w:t xml:space="preserve">The EIS </w:t>
            </w:r>
            <w:r w:rsidRPr="00E54E70">
              <w:rPr>
                <w:lang w:val="en-US"/>
              </w:rPr>
              <w:t>beam peak searching with constant step size for one frequency, ~56436s=15.7h</w:t>
            </w:r>
          </w:p>
          <w:p w14:paraId="7DAAFCF2" w14:textId="775D14BC" w:rsidR="00E54E70" w:rsidRDefault="00E54E70" w:rsidP="00E54E70">
            <w:r w:rsidRPr="00E54E70">
              <w:rPr>
                <w:lang w:val="en-US"/>
              </w:rPr>
              <w:t>The actual testing time based on more recent experiments from TE vendor is lower than the above estimation</w:t>
            </w:r>
          </w:p>
        </w:tc>
      </w:tr>
    </w:tbl>
    <w:p w14:paraId="7834F355" w14:textId="77777777" w:rsidR="004D16F9" w:rsidRDefault="004D16F9" w:rsidP="00E03F11"/>
    <w:p w14:paraId="54D34D35" w14:textId="2267FB18" w:rsidR="00E54E70" w:rsidRDefault="002105E8" w:rsidP="00E03F11">
      <w:r>
        <w:t xml:space="preserve">The 800 (constant density) and 1106 (constant step size) grid points were based on analyses presented in </w:t>
      </w:r>
      <w:r>
        <w:fldChar w:fldCharType="begin"/>
      </w:r>
      <w:r>
        <w:instrText xml:space="preserve"> REF _Ref59196474 \n \h </w:instrText>
      </w:r>
      <w:r>
        <w:fldChar w:fldCharType="separate"/>
      </w:r>
      <w:r>
        <w:t>[6]</w:t>
      </w:r>
      <w:r>
        <w:fldChar w:fldCharType="end"/>
      </w:r>
      <w:r>
        <w:t xml:space="preserve">. Similar analyses based on 50k simulations were performed for the 4x2 antenna array assumption suggested in the WF </w:t>
      </w:r>
      <w:r>
        <w:fldChar w:fldCharType="begin"/>
      </w:r>
      <w:r>
        <w:instrText xml:space="preserve"> REF _Ref59190526 \n \h </w:instrText>
      </w:r>
      <w:r>
        <w:fldChar w:fldCharType="separate"/>
      </w:r>
      <w:r>
        <w:t>[1]</w:t>
      </w:r>
      <w:r>
        <w:fldChar w:fldCharType="end"/>
      </w:r>
      <w:r>
        <w:t xml:space="preserve">. </w:t>
      </w:r>
      <w:r>
        <w:rPr>
          <w:rFonts w:eastAsia="Batang"/>
        </w:rPr>
        <w:t xml:space="preserve">The global beam peak of the 4x2 antenna array was determined first. Subsequently, the </w:t>
      </w:r>
      <w:r w:rsidRPr="00407A9F">
        <w:rPr>
          <w:rFonts w:eastAsia="Batang"/>
        </w:rPr>
        <w:t xml:space="preserve">relative orientation of the simulated antenna array and the measurement grid </w:t>
      </w:r>
      <w:r>
        <w:rPr>
          <w:rFonts w:eastAsia="Batang"/>
        </w:rPr>
        <w:t>was</w:t>
      </w:r>
      <w:r w:rsidRPr="00407A9F">
        <w:rPr>
          <w:rFonts w:eastAsia="Batang"/>
        </w:rPr>
        <w:t xml:space="preserve"> altered randomly</w:t>
      </w:r>
      <w:r>
        <w:rPr>
          <w:rFonts w:eastAsia="Batang"/>
        </w:rPr>
        <w:t>. The statistical results from simulations using 50,</w:t>
      </w:r>
      <w:r w:rsidRPr="00407A9F">
        <w:rPr>
          <w:rFonts w:eastAsia="Batang"/>
        </w:rPr>
        <w:t>000 random orientations</w:t>
      </w:r>
      <w:r>
        <w:rPr>
          <w:rFonts w:eastAsia="Batang"/>
        </w:rPr>
        <w:t xml:space="preserve"> are then used for further analyses</w:t>
      </w:r>
      <w:r w:rsidR="00F476C9">
        <w:rPr>
          <w:rFonts w:eastAsia="Batang"/>
        </w:rPr>
        <w:t xml:space="preserve">, summarized in </w:t>
      </w:r>
      <w:r w:rsidR="00F476C9">
        <w:rPr>
          <w:rFonts w:eastAsia="Batang"/>
        </w:rPr>
        <w:fldChar w:fldCharType="begin"/>
      </w:r>
      <w:r w:rsidR="00F476C9">
        <w:rPr>
          <w:rFonts w:eastAsia="Batang"/>
        </w:rPr>
        <w:instrText xml:space="preserve"> REF _Ref528606778 \h </w:instrText>
      </w:r>
      <w:r w:rsidR="00F476C9">
        <w:rPr>
          <w:rFonts w:eastAsia="Batang"/>
        </w:rPr>
      </w:r>
      <w:r w:rsidR="00F476C9">
        <w:rPr>
          <w:rFonts w:eastAsia="Batang"/>
        </w:rPr>
        <w:fldChar w:fldCharType="separate"/>
      </w:r>
      <w:r w:rsidR="00F476C9">
        <w:t xml:space="preserve">Table </w:t>
      </w:r>
      <w:r w:rsidR="00F476C9">
        <w:rPr>
          <w:noProof/>
        </w:rPr>
        <w:t>1</w:t>
      </w:r>
      <w:r w:rsidR="00F476C9">
        <w:rPr>
          <w:rFonts w:eastAsia="Batang"/>
        </w:rPr>
        <w:fldChar w:fldCharType="end"/>
      </w:r>
      <w:r w:rsidR="00F476C9">
        <w:rPr>
          <w:rFonts w:eastAsia="Batang"/>
        </w:rPr>
        <w:t xml:space="preserve"> for constant-step size grids and in  </w:t>
      </w:r>
      <w:r w:rsidR="00F476C9">
        <w:rPr>
          <w:rFonts w:eastAsia="Batang"/>
        </w:rPr>
        <w:fldChar w:fldCharType="begin"/>
      </w:r>
      <w:r w:rsidR="00F476C9">
        <w:rPr>
          <w:rFonts w:eastAsia="Batang"/>
        </w:rPr>
        <w:instrText xml:space="preserve"> REF _Ref59197709 \h </w:instrText>
      </w:r>
      <w:r w:rsidR="00F476C9">
        <w:rPr>
          <w:rFonts w:eastAsia="Batang"/>
        </w:rPr>
      </w:r>
      <w:r w:rsidR="00F476C9">
        <w:rPr>
          <w:rFonts w:eastAsia="Batang"/>
        </w:rPr>
        <w:fldChar w:fldCharType="separate"/>
      </w:r>
      <w:r w:rsidR="00F476C9">
        <w:t xml:space="preserve">Table </w:t>
      </w:r>
      <w:r w:rsidR="00F476C9">
        <w:rPr>
          <w:noProof/>
        </w:rPr>
        <w:t>2</w:t>
      </w:r>
      <w:r w:rsidR="00F476C9">
        <w:rPr>
          <w:rFonts w:eastAsia="Batang"/>
        </w:rPr>
        <w:fldChar w:fldCharType="end"/>
      </w:r>
      <w:r w:rsidR="00F476C9">
        <w:rPr>
          <w:rFonts w:eastAsia="Batang"/>
        </w:rPr>
        <w:t xml:space="preserve"> for constant-density grids</w:t>
      </w:r>
      <w:r>
        <w:rPr>
          <w:rFonts w:eastAsia="Batang"/>
        </w:rPr>
        <w:t xml:space="preserve">.  The simulation assumptions of the rotations were the same as those outlined in Annex G.1.1 of </w:t>
      </w:r>
      <w:r>
        <w:rPr>
          <w:rFonts w:eastAsia="Batang"/>
        </w:rPr>
        <w:fldChar w:fldCharType="begin"/>
      </w:r>
      <w:r>
        <w:rPr>
          <w:rFonts w:eastAsia="Batang"/>
        </w:rPr>
        <w:instrText xml:space="preserve"> REF _Ref59190769 \n \h </w:instrText>
      </w:r>
      <w:r>
        <w:rPr>
          <w:rFonts w:eastAsia="Batang"/>
        </w:rPr>
      </w:r>
      <w:r>
        <w:rPr>
          <w:rFonts w:eastAsia="Batang"/>
        </w:rPr>
        <w:fldChar w:fldCharType="separate"/>
      </w:r>
      <w:r>
        <w:rPr>
          <w:rFonts w:eastAsia="Batang"/>
        </w:rPr>
        <w:t>[2]</w:t>
      </w:r>
      <w:r>
        <w:rPr>
          <w:rFonts w:eastAsia="Batang"/>
        </w:rPr>
        <w:fldChar w:fldCharType="end"/>
      </w:r>
      <w:r>
        <w:rPr>
          <w:rFonts w:eastAsia="Batang"/>
        </w:rPr>
        <w:t>.</w:t>
      </w:r>
    </w:p>
    <w:p w14:paraId="62BEFE69" w14:textId="77777777" w:rsidR="00701AB8" w:rsidRDefault="00701AB8">
      <w:pPr>
        <w:spacing w:after="0"/>
        <w:rPr>
          <w:b/>
        </w:rPr>
      </w:pPr>
      <w:bookmarkStart w:id="5" w:name="_Ref528606778"/>
      <w:r>
        <w:br w:type="page"/>
      </w:r>
    </w:p>
    <w:p w14:paraId="6D4DCFEF" w14:textId="4D4ECA98" w:rsidR="002105E8" w:rsidRDefault="002105E8" w:rsidP="002105E8">
      <w:pPr>
        <w:pStyle w:val="Caption"/>
        <w:jc w:val="center"/>
      </w:pPr>
      <w:r>
        <w:lastRenderedPageBreak/>
        <w:t xml:space="preserve">Table </w:t>
      </w:r>
      <w:r>
        <w:fldChar w:fldCharType="begin"/>
      </w:r>
      <w:r>
        <w:instrText xml:space="preserve"> SEQ Table \* ARABIC </w:instrText>
      </w:r>
      <w:r>
        <w:fldChar w:fldCharType="separate"/>
      </w:r>
      <w:r>
        <w:rPr>
          <w:noProof/>
        </w:rPr>
        <w:t>1</w:t>
      </w:r>
      <w:r>
        <w:fldChar w:fldCharType="end"/>
      </w:r>
      <w:bookmarkEnd w:id="5"/>
      <w:r>
        <w:t>: Statistical Analyses of the 50k simulations for the constant-step size grids</w:t>
      </w:r>
    </w:p>
    <w:tbl>
      <w:tblPr>
        <w:tblW w:w="5260" w:type="dxa"/>
        <w:jc w:val="center"/>
        <w:tblCellMar>
          <w:left w:w="0" w:type="dxa"/>
          <w:right w:w="0" w:type="dxa"/>
        </w:tblCellMar>
        <w:tblLook w:val="04A0" w:firstRow="1" w:lastRow="0" w:firstColumn="1" w:lastColumn="0" w:noHBand="0" w:noVBand="1"/>
      </w:tblPr>
      <w:tblGrid>
        <w:gridCol w:w="960"/>
        <w:gridCol w:w="960"/>
        <w:gridCol w:w="960"/>
        <w:gridCol w:w="960"/>
        <w:gridCol w:w="1420"/>
      </w:tblGrid>
      <w:tr w:rsidR="003A6BE5" w14:paraId="78CED65C" w14:textId="77777777" w:rsidTr="003A6BE5">
        <w:trPr>
          <w:trHeight w:val="1392"/>
          <w:jc w:val="center"/>
        </w:trPr>
        <w:tc>
          <w:tcPr>
            <w:tcW w:w="9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0A50888D" w14:textId="77777777" w:rsidR="003A6BE5" w:rsidRDefault="003A6BE5">
            <w:pPr>
              <w:spacing w:after="0"/>
              <w:jc w:val="center"/>
              <w:rPr>
                <w:b/>
                <w:bCs/>
                <w:color w:val="000000"/>
                <w:sz w:val="22"/>
                <w:szCs w:val="22"/>
                <w:lang w:val="en-US"/>
              </w:rPr>
            </w:pPr>
            <w:bookmarkStart w:id="6" w:name="_Ref59197709"/>
            <w:r>
              <w:rPr>
                <w:b/>
                <w:bCs/>
                <w:color w:val="000000"/>
                <w:sz w:val="22"/>
                <w:szCs w:val="22"/>
              </w:rPr>
              <w:t>Angular Step Size [</w:t>
            </w:r>
            <w:r>
              <w:rPr>
                <w:b/>
                <w:bCs/>
                <w:color w:val="000000"/>
                <w:sz w:val="22"/>
                <w:szCs w:val="22"/>
                <w:vertAlign w:val="superscript"/>
              </w:rPr>
              <w:t>o</w:t>
            </w:r>
            <w:r>
              <w:rPr>
                <w:b/>
                <w:bCs/>
                <w:color w:val="000000"/>
                <w:sz w:val="22"/>
                <w:szCs w:val="22"/>
              </w:rPr>
              <w:t>]</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E934A69" w14:textId="77777777" w:rsidR="003A6BE5" w:rsidRDefault="003A6BE5">
            <w:pPr>
              <w:jc w:val="center"/>
              <w:rPr>
                <w:b/>
                <w:bCs/>
                <w:color w:val="000000"/>
                <w:sz w:val="22"/>
                <w:szCs w:val="22"/>
              </w:rPr>
            </w:pPr>
            <w:r>
              <w:rPr>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9A7909" w14:textId="77777777" w:rsidR="003A6BE5" w:rsidRDefault="003A6BE5">
            <w:pPr>
              <w:jc w:val="center"/>
              <w:rPr>
                <w:b/>
                <w:bCs/>
                <w:color w:val="000000"/>
                <w:sz w:val="22"/>
                <w:szCs w:val="22"/>
              </w:rPr>
            </w:pPr>
            <w:r>
              <w:rPr>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220E68" w14:textId="77777777" w:rsidR="003A6BE5" w:rsidRDefault="003A6BE5">
            <w:pPr>
              <w:jc w:val="center"/>
              <w:rPr>
                <w:b/>
                <w:bCs/>
                <w:color w:val="000000"/>
                <w:sz w:val="22"/>
                <w:szCs w:val="22"/>
              </w:rPr>
            </w:pPr>
            <w:r>
              <w:rPr>
                <w:b/>
                <w:bCs/>
                <w:color w:val="000000"/>
                <w:sz w:val="22"/>
                <w:szCs w:val="22"/>
              </w:rPr>
              <w:t>STD [dB]</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D8F9834" w14:textId="77777777" w:rsidR="003A6BE5" w:rsidRDefault="003A6BE5">
            <w:pPr>
              <w:jc w:val="center"/>
              <w:rPr>
                <w:b/>
                <w:bCs/>
                <w:color w:val="000000"/>
                <w:sz w:val="22"/>
                <w:szCs w:val="22"/>
              </w:rPr>
            </w:pPr>
            <w:r>
              <w:rPr>
                <w:b/>
                <w:bCs/>
                <w:color w:val="000000"/>
                <w:sz w:val="22"/>
                <w:szCs w:val="22"/>
              </w:rPr>
              <w:t>Offset</w:t>
            </w:r>
            <w:r>
              <w:rPr>
                <w:b/>
                <w:bCs/>
                <w:color w:val="000000"/>
                <w:sz w:val="22"/>
                <w:szCs w:val="22"/>
                <w:vertAlign w:val="subscript"/>
              </w:rPr>
              <w:t>5%CDF</w:t>
            </w:r>
            <w:r>
              <w:rPr>
                <w:b/>
                <w:bCs/>
                <w:color w:val="000000"/>
                <w:sz w:val="22"/>
                <w:szCs w:val="22"/>
              </w:rPr>
              <w:t xml:space="preserve"> [dB]</w:t>
            </w:r>
          </w:p>
        </w:tc>
      </w:tr>
      <w:tr w:rsidR="003A6BE5" w14:paraId="654290BF"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2026E99" w14:textId="77777777" w:rsidR="003A6BE5" w:rsidRDefault="003A6BE5">
            <w:pPr>
              <w:jc w:val="center"/>
              <w:rPr>
                <w:color w:val="000000"/>
                <w:sz w:val="22"/>
                <w:szCs w:val="22"/>
              </w:rPr>
            </w:pPr>
            <w:r>
              <w:rPr>
                <w:color w:val="000000"/>
                <w:sz w:val="22"/>
                <w:szCs w:val="22"/>
              </w:rPr>
              <w:t>7.5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259C212" w14:textId="77777777" w:rsidR="003A6BE5" w:rsidRDefault="003A6BE5">
            <w:pPr>
              <w:jc w:val="center"/>
              <w:rPr>
                <w:color w:val="000000"/>
                <w:sz w:val="22"/>
                <w:szCs w:val="22"/>
              </w:rPr>
            </w:pPr>
            <w:r>
              <w:rPr>
                <w:color w:val="000000"/>
                <w:sz w:val="22"/>
                <w:szCs w:val="22"/>
              </w:rPr>
              <w:t>1106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876E1E3" w14:textId="77777777" w:rsidR="003A6BE5" w:rsidRDefault="003A6BE5">
            <w:pPr>
              <w:jc w:val="center"/>
              <w:rPr>
                <w:color w:val="000000"/>
                <w:sz w:val="22"/>
                <w:szCs w:val="22"/>
              </w:rPr>
            </w:pPr>
            <w:r>
              <w:rPr>
                <w:color w:val="000000"/>
                <w:sz w:val="22"/>
                <w:szCs w:val="22"/>
              </w:rPr>
              <w:t>0.07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C4A7E5" w14:textId="77777777" w:rsidR="003A6BE5" w:rsidRDefault="003A6BE5">
            <w:pPr>
              <w:jc w:val="center"/>
              <w:rPr>
                <w:color w:val="000000"/>
                <w:sz w:val="22"/>
                <w:szCs w:val="22"/>
              </w:rPr>
            </w:pPr>
            <w:r>
              <w:rPr>
                <w:color w:val="000000"/>
                <w:sz w:val="22"/>
                <w:szCs w:val="22"/>
              </w:rPr>
              <w:t>0.05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69BB49" w14:textId="77777777" w:rsidR="003A6BE5" w:rsidRDefault="003A6BE5">
            <w:pPr>
              <w:jc w:val="center"/>
              <w:rPr>
                <w:color w:val="000000"/>
                <w:sz w:val="22"/>
                <w:szCs w:val="22"/>
              </w:rPr>
            </w:pPr>
            <w:r>
              <w:rPr>
                <w:color w:val="000000"/>
                <w:sz w:val="22"/>
                <w:szCs w:val="22"/>
              </w:rPr>
              <w:t>0.17</w:t>
            </w:r>
          </w:p>
        </w:tc>
      </w:tr>
      <w:tr w:rsidR="003A6BE5" w14:paraId="4CCF0E84"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5B7D630" w14:textId="77777777" w:rsidR="003A6BE5" w:rsidRDefault="003A6BE5">
            <w:pPr>
              <w:jc w:val="center"/>
              <w:rPr>
                <w:color w:val="000000"/>
                <w:sz w:val="22"/>
                <w:szCs w:val="22"/>
              </w:rPr>
            </w:pPr>
            <w:r>
              <w:rPr>
                <w:color w:val="000000"/>
                <w:sz w:val="22"/>
                <w:szCs w:val="22"/>
              </w:rPr>
              <w:t>9.0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8A0D15F" w14:textId="77777777" w:rsidR="003A6BE5" w:rsidRDefault="003A6BE5">
            <w:pPr>
              <w:jc w:val="center"/>
              <w:rPr>
                <w:color w:val="000000"/>
                <w:sz w:val="22"/>
                <w:szCs w:val="22"/>
              </w:rPr>
            </w:pPr>
            <w:r>
              <w:rPr>
                <w:color w:val="000000"/>
                <w:sz w:val="22"/>
                <w:szCs w:val="22"/>
              </w:rPr>
              <w:t>762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C8CEC80" w14:textId="77777777" w:rsidR="003A6BE5" w:rsidRDefault="003A6BE5">
            <w:pPr>
              <w:jc w:val="center"/>
              <w:rPr>
                <w:color w:val="000000"/>
                <w:sz w:val="22"/>
                <w:szCs w:val="22"/>
              </w:rPr>
            </w:pPr>
            <w:r>
              <w:rPr>
                <w:color w:val="000000"/>
                <w:sz w:val="22"/>
                <w:szCs w:val="22"/>
              </w:rPr>
              <w:t>0.10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59ACD1" w14:textId="77777777" w:rsidR="003A6BE5" w:rsidRDefault="003A6BE5">
            <w:pPr>
              <w:jc w:val="center"/>
              <w:rPr>
                <w:color w:val="000000"/>
                <w:sz w:val="22"/>
                <w:szCs w:val="22"/>
              </w:rPr>
            </w:pPr>
            <w:r>
              <w:rPr>
                <w:color w:val="000000"/>
                <w:sz w:val="22"/>
                <w:szCs w:val="22"/>
              </w:rPr>
              <w:t>0.07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4777E3" w14:textId="77777777" w:rsidR="003A6BE5" w:rsidRDefault="003A6BE5">
            <w:pPr>
              <w:jc w:val="center"/>
              <w:rPr>
                <w:color w:val="000000"/>
                <w:sz w:val="22"/>
                <w:szCs w:val="22"/>
              </w:rPr>
            </w:pPr>
            <w:r>
              <w:rPr>
                <w:color w:val="000000"/>
                <w:sz w:val="22"/>
                <w:szCs w:val="22"/>
              </w:rPr>
              <w:t>0.25</w:t>
            </w:r>
          </w:p>
        </w:tc>
      </w:tr>
      <w:tr w:rsidR="003A6BE5" w14:paraId="0275CAA0"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3E6CA9A2" w14:textId="77777777" w:rsidR="003A6BE5" w:rsidRDefault="003A6BE5">
            <w:pPr>
              <w:jc w:val="center"/>
              <w:rPr>
                <w:color w:val="000000"/>
                <w:sz w:val="22"/>
                <w:szCs w:val="22"/>
              </w:rPr>
            </w:pPr>
            <w:r>
              <w:rPr>
                <w:color w:val="000000"/>
                <w:sz w:val="22"/>
                <w:szCs w:val="22"/>
              </w:rPr>
              <w:t>10.0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9B470DC" w14:textId="77777777" w:rsidR="003A6BE5" w:rsidRDefault="003A6BE5">
            <w:pPr>
              <w:jc w:val="center"/>
              <w:rPr>
                <w:color w:val="000000"/>
                <w:sz w:val="22"/>
                <w:szCs w:val="22"/>
              </w:rPr>
            </w:pPr>
            <w:r>
              <w:rPr>
                <w:color w:val="000000"/>
                <w:sz w:val="22"/>
                <w:szCs w:val="22"/>
              </w:rPr>
              <w:t>614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A5A8CED" w14:textId="77777777" w:rsidR="003A6BE5" w:rsidRDefault="003A6BE5">
            <w:pPr>
              <w:jc w:val="center"/>
              <w:rPr>
                <w:color w:val="000000"/>
                <w:sz w:val="22"/>
                <w:szCs w:val="22"/>
              </w:rPr>
            </w:pPr>
            <w:r>
              <w:rPr>
                <w:color w:val="000000"/>
                <w:sz w:val="22"/>
                <w:szCs w:val="22"/>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DD343F" w14:textId="77777777" w:rsidR="003A6BE5" w:rsidRDefault="003A6BE5">
            <w:pPr>
              <w:jc w:val="center"/>
              <w:rPr>
                <w:color w:val="000000"/>
                <w:sz w:val="22"/>
                <w:szCs w:val="22"/>
              </w:rPr>
            </w:pPr>
            <w:r>
              <w:rPr>
                <w:color w:val="000000"/>
                <w:sz w:val="22"/>
                <w:szCs w:val="22"/>
              </w:rPr>
              <w:t>0.09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2A07B0" w14:textId="77777777" w:rsidR="003A6BE5" w:rsidRDefault="003A6BE5">
            <w:pPr>
              <w:jc w:val="center"/>
              <w:rPr>
                <w:color w:val="000000"/>
                <w:sz w:val="22"/>
                <w:szCs w:val="22"/>
              </w:rPr>
            </w:pPr>
            <w:r>
              <w:rPr>
                <w:color w:val="000000"/>
                <w:sz w:val="22"/>
                <w:szCs w:val="22"/>
              </w:rPr>
              <w:t>0.31</w:t>
            </w:r>
          </w:p>
        </w:tc>
      </w:tr>
      <w:tr w:rsidR="003A6BE5" w14:paraId="5D6EA9FA"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BEB0DE0" w14:textId="77777777" w:rsidR="003A6BE5" w:rsidRDefault="003A6BE5">
            <w:pPr>
              <w:jc w:val="center"/>
              <w:rPr>
                <w:color w:val="000000"/>
                <w:sz w:val="22"/>
                <w:szCs w:val="22"/>
              </w:rPr>
            </w:pPr>
            <w:r>
              <w:rPr>
                <w:color w:val="000000"/>
                <w:sz w:val="22"/>
                <w:szCs w:val="22"/>
              </w:rPr>
              <w:t>11.25</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803B99" w14:textId="77777777" w:rsidR="003A6BE5" w:rsidRDefault="003A6BE5">
            <w:pPr>
              <w:jc w:val="center"/>
              <w:rPr>
                <w:color w:val="000000"/>
                <w:sz w:val="22"/>
                <w:szCs w:val="22"/>
              </w:rPr>
            </w:pPr>
            <w:r>
              <w:rPr>
                <w:color w:val="000000"/>
                <w:sz w:val="22"/>
                <w:szCs w:val="22"/>
              </w:rPr>
              <w:t>482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97B124E" w14:textId="77777777" w:rsidR="003A6BE5" w:rsidRDefault="003A6BE5">
            <w:pPr>
              <w:jc w:val="center"/>
              <w:rPr>
                <w:color w:val="000000"/>
                <w:sz w:val="22"/>
                <w:szCs w:val="22"/>
              </w:rPr>
            </w:pPr>
            <w:r>
              <w:rPr>
                <w:color w:val="000000"/>
                <w:sz w:val="22"/>
                <w:szCs w:val="22"/>
              </w:rPr>
              <w:t>0.15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7A1D3E" w14:textId="77777777" w:rsidR="003A6BE5" w:rsidRDefault="003A6BE5">
            <w:pPr>
              <w:jc w:val="center"/>
              <w:rPr>
                <w:color w:val="000000"/>
                <w:sz w:val="22"/>
                <w:szCs w:val="22"/>
              </w:rPr>
            </w:pPr>
            <w:r>
              <w:rPr>
                <w:color w:val="000000"/>
                <w:sz w:val="22"/>
                <w:szCs w:val="22"/>
              </w:rPr>
              <w:t>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C0A45F" w14:textId="77777777" w:rsidR="003A6BE5" w:rsidRDefault="003A6BE5">
            <w:pPr>
              <w:jc w:val="center"/>
              <w:rPr>
                <w:color w:val="000000"/>
                <w:sz w:val="22"/>
                <w:szCs w:val="22"/>
              </w:rPr>
            </w:pPr>
            <w:r>
              <w:rPr>
                <w:color w:val="000000"/>
                <w:sz w:val="22"/>
                <w:szCs w:val="22"/>
              </w:rPr>
              <w:t>0.38</w:t>
            </w:r>
          </w:p>
        </w:tc>
      </w:tr>
      <w:tr w:rsidR="003A6BE5" w14:paraId="07650A44"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797BB103" w14:textId="77777777" w:rsidR="003A6BE5" w:rsidRDefault="003A6BE5">
            <w:pPr>
              <w:jc w:val="center"/>
              <w:rPr>
                <w:color w:val="000000"/>
                <w:sz w:val="22"/>
                <w:szCs w:val="22"/>
              </w:rPr>
            </w:pPr>
            <w:r>
              <w:rPr>
                <w:color w:val="000000"/>
                <w:sz w:val="22"/>
                <w:szCs w:val="22"/>
              </w:rPr>
              <w:t>12.0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942AE16" w14:textId="77777777" w:rsidR="003A6BE5" w:rsidRDefault="003A6BE5">
            <w:pPr>
              <w:jc w:val="center"/>
              <w:rPr>
                <w:color w:val="000000"/>
                <w:sz w:val="22"/>
                <w:szCs w:val="22"/>
              </w:rPr>
            </w:pPr>
            <w:r>
              <w:rPr>
                <w:color w:val="000000"/>
                <w:sz w:val="22"/>
                <w:szCs w:val="22"/>
              </w:rPr>
              <w:t>422</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E1D4E58" w14:textId="77777777" w:rsidR="003A6BE5" w:rsidRDefault="003A6BE5">
            <w:pPr>
              <w:jc w:val="center"/>
              <w:rPr>
                <w:color w:val="000000"/>
                <w:sz w:val="22"/>
                <w:szCs w:val="22"/>
              </w:rPr>
            </w:pPr>
            <w:r>
              <w:rPr>
                <w:color w:val="000000"/>
                <w:sz w:val="22"/>
                <w:szCs w:val="22"/>
              </w:rPr>
              <w:t>0.17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5536355" w14:textId="77777777" w:rsidR="003A6BE5" w:rsidRDefault="003A6BE5">
            <w:pPr>
              <w:jc w:val="center"/>
              <w:rPr>
                <w:color w:val="000000"/>
                <w:sz w:val="22"/>
                <w:szCs w:val="22"/>
              </w:rPr>
            </w:pPr>
            <w:r>
              <w:rPr>
                <w:color w:val="000000"/>
                <w:sz w:val="22"/>
                <w:szCs w:val="22"/>
              </w:rPr>
              <w:t>0.13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1673CB" w14:textId="77777777" w:rsidR="003A6BE5" w:rsidRDefault="003A6BE5">
            <w:pPr>
              <w:jc w:val="center"/>
              <w:rPr>
                <w:color w:val="000000"/>
                <w:sz w:val="22"/>
                <w:szCs w:val="22"/>
              </w:rPr>
            </w:pPr>
            <w:r>
              <w:rPr>
                <w:color w:val="000000"/>
                <w:sz w:val="22"/>
                <w:szCs w:val="22"/>
              </w:rPr>
              <w:t>0.44</w:t>
            </w:r>
          </w:p>
        </w:tc>
      </w:tr>
      <w:tr w:rsidR="003A6BE5" w14:paraId="2955DE2F" w14:textId="77777777" w:rsidTr="00C710A3">
        <w:trPr>
          <w:trHeight w:val="288"/>
          <w:jc w:val="center"/>
        </w:trPr>
        <w:tc>
          <w:tcPr>
            <w:tcW w:w="960" w:type="dxa"/>
            <w:tcBorders>
              <w:top w:val="nil"/>
              <w:left w:val="single" w:sz="4" w:space="0" w:color="auto"/>
              <w:bottom w:val="single" w:sz="4" w:space="0" w:color="auto"/>
              <w:right w:val="single" w:sz="4" w:space="0" w:color="auto"/>
            </w:tcBorders>
            <w:shd w:val="clear" w:color="auto" w:fill="FFFF00"/>
            <w:tcMar>
              <w:top w:w="15" w:type="dxa"/>
              <w:left w:w="15" w:type="dxa"/>
              <w:bottom w:w="0" w:type="dxa"/>
              <w:right w:w="15" w:type="dxa"/>
            </w:tcMar>
            <w:vAlign w:val="bottom"/>
            <w:hideMark/>
          </w:tcPr>
          <w:p w14:paraId="4A478C2C" w14:textId="77777777" w:rsidR="003A6BE5" w:rsidRDefault="003A6BE5">
            <w:pPr>
              <w:jc w:val="center"/>
              <w:rPr>
                <w:color w:val="000000"/>
                <w:sz w:val="22"/>
                <w:szCs w:val="22"/>
              </w:rPr>
            </w:pPr>
            <w:r>
              <w:rPr>
                <w:color w:val="000000"/>
                <w:sz w:val="22"/>
                <w:szCs w:val="22"/>
              </w:rPr>
              <w:t>12.86</w:t>
            </w:r>
          </w:p>
        </w:tc>
        <w:tc>
          <w:tcPr>
            <w:tcW w:w="960" w:type="dxa"/>
            <w:tcBorders>
              <w:top w:val="nil"/>
              <w:left w:val="nil"/>
              <w:bottom w:val="single" w:sz="4" w:space="0" w:color="auto"/>
              <w:right w:val="single" w:sz="4" w:space="0" w:color="auto"/>
            </w:tcBorders>
            <w:shd w:val="clear" w:color="auto" w:fill="FFFF00"/>
            <w:tcMar>
              <w:top w:w="15" w:type="dxa"/>
              <w:left w:w="15" w:type="dxa"/>
              <w:bottom w:w="0" w:type="dxa"/>
              <w:right w:w="15" w:type="dxa"/>
            </w:tcMar>
            <w:vAlign w:val="bottom"/>
            <w:hideMark/>
          </w:tcPr>
          <w:p w14:paraId="35D95A0A" w14:textId="77777777" w:rsidR="003A6BE5" w:rsidRDefault="003A6BE5">
            <w:pPr>
              <w:jc w:val="center"/>
              <w:rPr>
                <w:color w:val="000000"/>
                <w:sz w:val="22"/>
                <w:szCs w:val="22"/>
              </w:rPr>
            </w:pPr>
            <w:r>
              <w:rPr>
                <w:color w:val="000000"/>
                <w:sz w:val="22"/>
                <w:szCs w:val="22"/>
              </w:rPr>
              <w:t>366</w:t>
            </w:r>
          </w:p>
        </w:tc>
        <w:tc>
          <w:tcPr>
            <w:tcW w:w="960" w:type="dxa"/>
            <w:tcBorders>
              <w:top w:val="nil"/>
              <w:left w:val="nil"/>
              <w:bottom w:val="single" w:sz="4" w:space="0" w:color="auto"/>
              <w:right w:val="single" w:sz="4" w:space="0" w:color="auto"/>
            </w:tcBorders>
            <w:shd w:val="clear" w:color="auto" w:fill="FFFF00"/>
            <w:tcMar>
              <w:top w:w="15" w:type="dxa"/>
              <w:left w:w="15" w:type="dxa"/>
              <w:bottom w:w="0" w:type="dxa"/>
              <w:right w:w="15" w:type="dxa"/>
            </w:tcMar>
            <w:vAlign w:val="bottom"/>
            <w:hideMark/>
          </w:tcPr>
          <w:p w14:paraId="6E5FF43E" w14:textId="77777777" w:rsidR="003A6BE5" w:rsidRDefault="003A6BE5">
            <w:pPr>
              <w:jc w:val="center"/>
              <w:rPr>
                <w:color w:val="000000"/>
                <w:sz w:val="22"/>
                <w:szCs w:val="22"/>
              </w:rPr>
            </w:pPr>
            <w:r>
              <w:rPr>
                <w:color w:val="000000"/>
                <w:sz w:val="22"/>
                <w:szCs w:val="22"/>
              </w:rPr>
              <w:t>0.20</w:t>
            </w:r>
          </w:p>
        </w:tc>
        <w:tc>
          <w:tcPr>
            <w:tcW w:w="0" w:type="auto"/>
            <w:tcBorders>
              <w:top w:val="nil"/>
              <w:left w:val="nil"/>
              <w:bottom w:val="single" w:sz="4" w:space="0" w:color="auto"/>
              <w:right w:val="single" w:sz="4" w:space="0" w:color="auto"/>
            </w:tcBorders>
            <w:shd w:val="clear" w:color="auto" w:fill="FFFF00"/>
            <w:noWrap/>
            <w:tcMar>
              <w:top w:w="15" w:type="dxa"/>
              <w:left w:w="15" w:type="dxa"/>
              <w:bottom w:w="0" w:type="dxa"/>
              <w:right w:w="15" w:type="dxa"/>
            </w:tcMar>
            <w:vAlign w:val="bottom"/>
            <w:hideMark/>
          </w:tcPr>
          <w:p w14:paraId="7229DAB8" w14:textId="77777777" w:rsidR="003A6BE5" w:rsidRDefault="003A6BE5">
            <w:pPr>
              <w:jc w:val="center"/>
              <w:rPr>
                <w:color w:val="000000"/>
                <w:sz w:val="22"/>
                <w:szCs w:val="22"/>
              </w:rPr>
            </w:pPr>
            <w:r>
              <w:rPr>
                <w:color w:val="000000"/>
                <w:sz w:val="22"/>
                <w:szCs w:val="22"/>
              </w:rPr>
              <w:t>0.15</w:t>
            </w:r>
          </w:p>
        </w:tc>
        <w:tc>
          <w:tcPr>
            <w:tcW w:w="0" w:type="auto"/>
            <w:tcBorders>
              <w:top w:val="nil"/>
              <w:left w:val="nil"/>
              <w:bottom w:val="single" w:sz="4" w:space="0" w:color="auto"/>
              <w:right w:val="single" w:sz="4" w:space="0" w:color="auto"/>
            </w:tcBorders>
            <w:shd w:val="clear" w:color="auto" w:fill="FFFF00"/>
            <w:noWrap/>
            <w:tcMar>
              <w:top w:w="15" w:type="dxa"/>
              <w:left w:w="15" w:type="dxa"/>
              <w:bottom w:w="0" w:type="dxa"/>
              <w:right w:w="15" w:type="dxa"/>
            </w:tcMar>
            <w:vAlign w:val="bottom"/>
            <w:hideMark/>
          </w:tcPr>
          <w:p w14:paraId="4AB8A9C6" w14:textId="77777777" w:rsidR="003A6BE5" w:rsidRDefault="003A6BE5">
            <w:pPr>
              <w:jc w:val="center"/>
              <w:rPr>
                <w:color w:val="000000"/>
                <w:sz w:val="22"/>
                <w:szCs w:val="22"/>
              </w:rPr>
            </w:pPr>
            <w:r>
              <w:rPr>
                <w:color w:val="000000"/>
                <w:sz w:val="22"/>
                <w:szCs w:val="22"/>
              </w:rPr>
              <w:t>0.50</w:t>
            </w:r>
          </w:p>
        </w:tc>
      </w:tr>
      <w:tr w:rsidR="003A6BE5" w14:paraId="32B1EB89"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5E396EF7" w14:textId="77777777" w:rsidR="003A6BE5" w:rsidRDefault="003A6BE5">
            <w:pPr>
              <w:jc w:val="center"/>
              <w:rPr>
                <w:color w:val="000000"/>
                <w:sz w:val="22"/>
                <w:szCs w:val="22"/>
              </w:rPr>
            </w:pPr>
            <w:r>
              <w:rPr>
                <w:color w:val="000000"/>
                <w:sz w:val="22"/>
                <w:szCs w:val="22"/>
              </w:rPr>
              <w:t>13.8</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C62D4EB" w14:textId="77777777" w:rsidR="003A6BE5" w:rsidRDefault="003A6BE5">
            <w:pPr>
              <w:jc w:val="center"/>
              <w:rPr>
                <w:color w:val="000000"/>
                <w:sz w:val="22"/>
                <w:szCs w:val="22"/>
              </w:rPr>
            </w:pPr>
            <w:r>
              <w:rPr>
                <w:color w:val="000000"/>
                <w:sz w:val="22"/>
                <w:szCs w:val="22"/>
              </w:rPr>
              <w:t>314</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68F1762" w14:textId="77777777" w:rsidR="003A6BE5" w:rsidRDefault="003A6BE5">
            <w:pPr>
              <w:jc w:val="center"/>
              <w:rPr>
                <w:color w:val="000000"/>
                <w:sz w:val="22"/>
                <w:szCs w:val="22"/>
              </w:rPr>
            </w:pPr>
            <w:r>
              <w:rPr>
                <w:color w:val="000000"/>
                <w:sz w:val="22"/>
                <w:szCs w:val="22"/>
              </w:rPr>
              <w:t>0.23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80E68A" w14:textId="77777777" w:rsidR="003A6BE5" w:rsidRDefault="003A6BE5">
            <w:pPr>
              <w:jc w:val="center"/>
              <w:rPr>
                <w:color w:val="000000"/>
                <w:sz w:val="22"/>
                <w:szCs w:val="22"/>
              </w:rPr>
            </w:pPr>
            <w:r>
              <w:rPr>
                <w:color w:val="000000"/>
                <w:sz w:val="22"/>
                <w:szCs w:val="22"/>
              </w:rPr>
              <w:t>0.17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19111A" w14:textId="77777777" w:rsidR="003A6BE5" w:rsidRDefault="003A6BE5">
            <w:pPr>
              <w:jc w:val="center"/>
              <w:rPr>
                <w:color w:val="000000"/>
                <w:sz w:val="22"/>
                <w:szCs w:val="22"/>
              </w:rPr>
            </w:pPr>
            <w:r>
              <w:rPr>
                <w:color w:val="000000"/>
                <w:sz w:val="22"/>
                <w:szCs w:val="22"/>
              </w:rPr>
              <w:t>0.58</w:t>
            </w:r>
          </w:p>
        </w:tc>
      </w:tr>
      <w:tr w:rsidR="003A6BE5" w14:paraId="51983A08" w14:textId="77777777" w:rsidTr="003A6BE5">
        <w:trPr>
          <w:trHeight w:val="288"/>
          <w:jc w:val="center"/>
        </w:trPr>
        <w:tc>
          <w:tcPr>
            <w:tcW w:w="9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6EA5BF7B" w14:textId="77777777" w:rsidR="003A6BE5" w:rsidRDefault="003A6BE5">
            <w:pPr>
              <w:jc w:val="center"/>
              <w:rPr>
                <w:color w:val="000000"/>
                <w:sz w:val="22"/>
                <w:szCs w:val="22"/>
              </w:rPr>
            </w:pPr>
            <w:r>
              <w:rPr>
                <w:color w:val="000000"/>
                <w:sz w:val="22"/>
                <w:szCs w:val="22"/>
              </w:rPr>
              <w:t>15.0</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7AFD448" w14:textId="77777777" w:rsidR="003A6BE5" w:rsidRDefault="003A6BE5">
            <w:pPr>
              <w:jc w:val="center"/>
              <w:rPr>
                <w:color w:val="000000"/>
                <w:sz w:val="22"/>
                <w:szCs w:val="22"/>
              </w:rPr>
            </w:pPr>
            <w:r>
              <w:rPr>
                <w:color w:val="000000"/>
                <w:sz w:val="22"/>
                <w:szCs w:val="22"/>
              </w:rPr>
              <w:t>266</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F6FBF12" w14:textId="77777777" w:rsidR="003A6BE5" w:rsidRDefault="003A6BE5">
            <w:pPr>
              <w:jc w:val="center"/>
              <w:rPr>
                <w:color w:val="000000"/>
                <w:sz w:val="22"/>
                <w:szCs w:val="22"/>
              </w:rPr>
            </w:pPr>
            <w:r>
              <w:rPr>
                <w:color w:val="000000"/>
                <w:sz w:val="22"/>
                <w:szCs w:val="22"/>
              </w:rPr>
              <w:t>0.27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020B7A" w14:textId="77777777" w:rsidR="003A6BE5" w:rsidRDefault="003A6BE5">
            <w:pPr>
              <w:jc w:val="center"/>
              <w:rPr>
                <w:color w:val="000000"/>
                <w:sz w:val="22"/>
                <w:szCs w:val="22"/>
              </w:rPr>
            </w:pPr>
            <w:r>
              <w:rPr>
                <w:color w:val="000000"/>
                <w:sz w:val="22"/>
                <w:szCs w:val="22"/>
              </w:rPr>
              <w:t>0.21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7F1D6A" w14:textId="77777777" w:rsidR="003A6BE5" w:rsidRDefault="003A6BE5">
            <w:pPr>
              <w:jc w:val="center"/>
              <w:rPr>
                <w:color w:val="000000"/>
                <w:sz w:val="22"/>
                <w:szCs w:val="22"/>
              </w:rPr>
            </w:pPr>
            <w:r>
              <w:rPr>
                <w:color w:val="000000"/>
                <w:sz w:val="22"/>
                <w:szCs w:val="22"/>
              </w:rPr>
              <w:t>0.69</w:t>
            </w:r>
          </w:p>
        </w:tc>
      </w:tr>
    </w:tbl>
    <w:p w14:paraId="4FCBFB5B" w14:textId="57F72C88" w:rsidR="002105E8" w:rsidRDefault="003A6BE5" w:rsidP="002105E8">
      <w:pPr>
        <w:pStyle w:val="Caption"/>
        <w:jc w:val="center"/>
      </w:pPr>
      <w:r>
        <w:t xml:space="preserve"> </w:t>
      </w:r>
      <w:r w:rsidR="002105E8">
        <w:t xml:space="preserve">Table </w:t>
      </w:r>
      <w:r w:rsidR="002105E8">
        <w:fldChar w:fldCharType="begin"/>
      </w:r>
      <w:r w:rsidR="002105E8">
        <w:instrText xml:space="preserve"> SEQ Table \* ARABIC </w:instrText>
      </w:r>
      <w:r w:rsidR="002105E8">
        <w:fldChar w:fldCharType="separate"/>
      </w:r>
      <w:r w:rsidR="002105E8">
        <w:rPr>
          <w:noProof/>
        </w:rPr>
        <w:t>2</w:t>
      </w:r>
      <w:r w:rsidR="002105E8">
        <w:fldChar w:fldCharType="end"/>
      </w:r>
      <w:bookmarkEnd w:id="6"/>
      <w:r w:rsidR="002105E8">
        <w:t>: Statistical Analyses of the 50k simulations for the constant-density grids</w:t>
      </w:r>
    </w:p>
    <w:tbl>
      <w:tblPr>
        <w:tblW w:w="3850" w:type="dxa"/>
        <w:jc w:val="center"/>
        <w:tblLook w:val="04A0" w:firstRow="1" w:lastRow="0" w:firstColumn="1" w:lastColumn="0" w:noHBand="0" w:noVBand="1"/>
      </w:tblPr>
      <w:tblGrid>
        <w:gridCol w:w="999"/>
        <w:gridCol w:w="766"/>
        <w:gridCol w:w="960"/>
        <w:gridCol w:w="1288"/>
      </w:tblGrid>
      <w:tr w:rsidR="002105E8" w:rsidRPr="002105E8" w14:paraId="2DE1DD31" w14:textId="77777777" w:rsidTr="002105E8">
        <w:trPr>
          <w:trHeight w:val="1452"/>
          <w:jc w:val="center"/>
        </w:trPr>
        <w:tc>
          <w:tcPr>
            <w:tcW w:w="9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6D8758" w14:textId="77777777" w:rsidR="002105E8" w:rsidRPr="002105E8" w:rsidRDefault="002105E8" w:rsidP="00B41B9C">
            <w:pPr>
              <w:spacing w:after="0"/>
              <w:jc w:val="center"/>
              <w:rPr>
                <w:rFonts w:eastAsia="Times New Roman"/>
                <w:b/>
                <w:bCs/>
                <w:color w:val="000000"/>
                <w:sz w:val="22"/>
                <w:szCs w:val="22"/>
                <w:lang w:val="en-US"/>
              </w:rPr>
            </w:pPr>
            <w:r w:rsidRPr="002105E8">
              <w:rPr>
                <w:rFonts w:eastAsia="Times New Roman"/>
                <w:b/>
                <w:bCs/>
                <w:color w:val="000000"/>
                <w:sz w:val="22"/>
                <w:szCs w:val="22"/>
                <w:lang w:val="en-US"/>
              </w:rPr>
              <w:t>Number of unique grid points</w:t>
            </w:r>
          </w:p>
        </w:tc>
        <w:tc>
          <w:tcPr>
            <w:tcW w:w="746" w:type="dxa"/>
            <w:tcBorders>
              <w:top w:val="single" w:sz="4" w:space="0" w:color="auto"/>
              <w:left w:val="nil"/>
              <w:bottom w:val="single" w:sz="4" w:space="0" w:color="auto"/>
              <w:right w:val="single" w:sz="4" w:space="0" w:color="auto"/>
            </w:tcBorders>
            <w:shd w:val="clear" w:color="auto" w:fill="auto"/>
            <w:vAlign w:val="bottom"/>
            <w:hideMark/>
          </w:tcPr>
          <w:p w14:paraId="30EDFDBB" w14:textId="77777777" w:rsidR="002105E8" w:rsidRPr="002105E8" w:rsidRDefault="002105E8" w:rsidP="00B41B9C">
            <w:pPr>
              <w:spacing w:after="0"/>
              <w:jc w:val="center"/>
              <w:rPr>
                <w:rFonts w:eastAsia="Times New Roman"/>
                <w:b/>
                <w:bCs/>
                <w:color w:val="000000"/>
                <w:sz w:val="22"/>
                <w:szCs w:val="22"/>
                <w:lang w:val="en-US"/>
              </w:rPr>
            </w:pPr>
            <w:r w:rsidRPr="002105E8">
              <w:rPr>
                <w:rFonts w:eastAsia="Times New Roman"/>
                <w:b/>
                <w:bCs/>
                <w:color w:val="000000"/>
                <w:sz w:val="22"/>
                <w:szCs w:val="22"/>
                <w:lang w:val="en-US"/>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52BC2B4" w14:textId="77777777" w:rsidR="002105E8" w:rsidRPr="002105E8" w:rsidRDefault="002105E8" w:rsidP="00B41B9C">
            <w:pPr>
              <w:spacing w:after="0"/>
              <w:jc w:val="center"/>
              <w:rPr>
                <w:rFonts w:eastAsia="Times New Roman"/>
                <w:b/>
                <w:bCs/>
                <w:color w:val="000000"/>
                <w:sz w:val="22"/>
                <w:szCs w:val="22"/>
                <w:lang w:val="en-US"/>
              </w:rPr>
            </w:pPr>
            <w:r w:rsidRPr="002105E8">
              <w:rPr>
                <w:rFonts w:eastAsia="Times New Roman"/>
                <w:b/>
                <w:bCs/>
                <w:color w:val="000000"/>
                <w:sz w:val="22"/>
                <w:szCs w:val="22"/>
                <w:lang w:val="en-US"/>
              </w:rPr>
              <w:t>STD [dB]</w:t>
            </w:r>
          </w:p>
        </w:tc>
        <w:tc>
          <w:tcPr>
            <w:tcW w:w="1179" w:type="dxa"/>
            <w:tcBorders>
              <w:top w:val="single" w:sz="4" w:space="0" w:color="auto"/>
              <w:left w:val="nil"/>
              <w:bottom w:val="single" w:sz="4" w:space="0" w:color="auto"/>
              <w:right w:val="single" w:sz="4" w:space="0" w:color="auto"/>
            </w:tcBorders>
            <w:shd w:val="clear" w:color="auto" w:fill="auto"/>
            <w:vAlign w:val="bottom"/>
            <w:hideMark/>
          </w:tcPr>
          <w:p w14:paraId="6AD95013" w14:textId="77777777" w:rsidR="002105E8" w:rsidRPr="002105E8" w:rsidRDefault="002105E8" w:rsidP="00B41B9C">
            <w:pPr>
              <w:spacing w:after="0"/>
              <w:jc w:val="center"/>
              <w:rPr>
                <w:rFonts w:eastAsia="Times New Roman"/>
                <w:b/>
                <w:bCs/>
                <w:color w:val="000000"/>
                <w:sz w:val="22"/>
                <w:szCs w:val="22"/>
                <w:lang w:val="en-US"/>
              </w:rPr>
            </w:pPr>
            <w:r w:rsidRPr="002105E8">
              <w:rPr>
                <w:rFonts w:eastAsia="Times New Roman"/>
                <w:b/>
                <w:bCs/>
                <w:color w:val="000000"/>
                <w:sz w:val="22"/>
                <w:szCs w:val="22"/>
                <w:lang w:val="en-US"/>
              </w:rPr>
              <w:t>Offset</w:t>
            </w:r>
            <w:r w:rsidRPr="002105E8">
              <w:rPr>
                <w:rFonts w:eastAsia="Times New Roman"/>
                <w:b/>
                <w:bCs/>
                <w:color w:val="000000"/>
                <w:sz w:val="22"/>
                <w:szCs w:val="22"/>
                <w:vertAlign w:val="subscript"/>
                <w:lang w:val="en-US"/>
              </w:rPr>
              <w:t>5%CDF</w:t>
            </w:r>
            <w:r w:rsidRPr="002105E8">
              <w:rPr>
                <w:rFonts w:eastAsia="Times New Roman"/>
                <w:b/>
                <w:bCs/>
                <w:color w:val="000000"/>
                <w:sz w:val="22"/>
                <w:szCs w:val="22"/>
                <w:lang w:val="en-US"/>
              </w:rPr>
              <w:t xml:space="preserve"> [dB]</w:t>
            </w:r>
          </w:p>
        </w:tc>
      </w:tr>
      <w:tr w:rsidR="002105E8" w:rsidRPr="002105E8" w14:paraId="128708E1"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4CEF770B"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800</w:t>
            </w:r>
          </w:p>
        </w:tc>
        <w:tc>
          <w:tcPr>
            <w:tcW w:w="746" w:type="dxa"/>
            <w:tcBorders>
              <w:top w:val="nil"/>
              <w:left w:val="nil"/>
              <w:bottom w:val="single" w:sz="4" w:space="0" w:color="auto"/>
              <w:right w:val="single" w:sz="4" w:space="0" w:color="auto"/>
            </w:tcBorders>
            <w:shd w:val="clear" w:color="auto" w:fill="auto"/>
            <w:vAlign w:val="bottom"/>
            <w:hideMark/>
          </w:tcPr>
          <w:p w14:paraId="19B6BD76"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0.07</w:t>
            </w:r>
          </w:p>
        </w:tc>
        <w:tc>
          <w:tcPr>
            <w:tcW w:w="960" w:type="dxa"/>
            <w:tcBorders>
              <w:top w:val="nil"/>
              <w:left w:val="nil"/>
              <w:bottom w:val="single" w:sz="4" w:space="0" w:color="auto"/>
              <w:right w:val="single" w:sz="4" w:space="0" w:color="auto"/>
            </w:tcBorders>
            <w:shd w:val="clear" w:color="auto" w:fill="auto"/>
            <w:vAlign w:val="bottom"/>
            <w:hideMark/>
          </w:tcPr>
          <w:p w14:paraId="128F10E4"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0.05</w:t>
            </w:r>
          </w:p>
        </w:tc>
        <w:tc>
          <w:tcPr>
            <w:tcW w:w="1179" w:type="dxa"/>
            <w:tcBorders>
              <w:top w:val="nil"/>
              <w:left w:val="nil"/>
              <w:bottom w:val="single" w:sz="4" w:space="0" w:color="auto"/>
              <w:right w:val="single" w:sz="4" w:space="0" w:color="auto"/>
            </w:tcBorders>
            <w:shd w:val="clear" w:color="auto" w:fill="auto"/>
            <w:noWrap/>
            <w:vAlign w:val="bottom"/>
            <w:hideMark/>
          </w:tcPr>
          <w:p w14:paraId="1587B713"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0.17</w:t>
            </w:r>
          </w:p>
        </w:tc>
      </w:tr>
      <w:tr w:rsidR="002105E8" w:rsidRPr="002105E8" w14:paraId="7AB43FEE"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616C6352"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700</w:t>
            </w:r>
          </w:p>
        </w:tc>
        <w:tc>
          <w:tcPr>
            <w:tcW w:w="746" w:type="dxa"/>
            <w:tcBorders>
              <w:top w:val="nil"/>
              <w:left w:val="nil"/>
              <w:bottom w:val="single" w:sz="4" w:space="0" w:color="auto"/>
              <w:right w:val="single" w:sz="4" w:space="0" w:color="auto"/>
            </w:tcBorders>
            <w:shd w:val="clear" w:color="auto" w:fill="auto"/>
            <w:vAlign w:val="bottom"/>
            <w:hideMark/>
          </w:tcPr>
          <w:p w14:paraId="162B3ADA"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0.09</w:t>
            </w:r>
          </w:p>
        </w:tc>
        <w:tc>
          <w:tcPr>
            <w:tcW w:w="960" w:type="dxa"/>
            <w:tcBorders>
              <w:top w:val="nil"/>
              <w:left w:val="nil"/>
              <w:bottom w:val="single" w:sz="4" w:space="0" w:color="auto"/>
              <w:right w:val="single" w:sz="4" w:space="0" w:color="auto"/>
            </w:tcBorders>
            <w:shd w:val="clear" w:color="auto" w:fill="auto"/>
            <w:vAlign w:val="bottom"/>
            <w:hideMark/>
          </w:tcPr>
          <w:p w14:paraId="137D6C8E"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0.06</w:t>
            </w:r>
          </w:p>
        </w:tc>
        <w:tc>
          <w:tcPr>
            <w:tcW w:w="1179" w:type="dxa"/>
            <w:tcBorders>
              <w:top w:val="nil"/>
              <w:left w:val="nil"/>
              <w:bottom w:val="single" w:sz="4" w:space="0" w:color="auto"/>
              <w:right w:val="single" w:sz="4" w:space="0" w:color="auto"/>
            </w:tcBorders>
            <w:shd w:val="clear" w:color="auto" w:fill="auto"/>
            <w:noWrap/>
            <w:vAlign w:val="bottom"/>
            <w:hideMark/>
          </w:tcPr>
          <w:p w14:paraId="4DBA2F45"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0.20</w:t>
            </w:r>
          </w:p>
        </w:tc>
      </w:tr>
      <w:tr w:rsidR="002105E8" w:rsidRPr="002105E8" w14:paraId="5C3412D6"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700593CE"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650</w:t>
            </w:r>
          </w:p>
        </w:tc>
        <w:tc>
          <w:tcPr>
            <w:tcW w:w="746" w:type="dxa"/>
            <w:tcBorders>
              <w:top w:val="nil"/>
              <w:left w:val="nil"/>
              <w:bottom w:val="single" w:sz="4" w:space="0" w:color="auto"/>
              <w:right w:val="single" w:sz="4" w:space="0" w:color="auto"/>
            </w:tcBorders>
            <w:shd w:val="clear" w:color="auto" w:fill="auto"/>
            <w:vAlign w:val="bottom"/>
            <w:hideMark/>
          </w:tcPr>
          <w:p w14:paraId="210439E7"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0.09</w:t>
            </w:r>
          </w:p>
        </w:tc>
        <w:tc>
          <w:tcPr>
            <w:tcW w:w="960" w:type="dxa"/>
            <w:tcBorders>
              <w:top w:val="nil"/>
              <w:left w:val="nil"/>
              <w:bottom w:val="single" w:sz="4" w:space="0" w:color="auto"/>
              <w:right w:val="single" w:sz="4" w:space="0" w:color="auto"/>
            </w:tcBorders>
            <w:shd w:val="clear" w:color="auto" w:fill="auto"/>
            <w:vAlign w:val="bottom"/>
            <w:hideMark/>
          </w:tcPr>
          <w:p w14:paraId="3A2E1455"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0.06</w:t>
            </w:r>
          </w:p>
        </w:tc>
        <w:tc>
          <w:tcPr>
            <w:tcW w:w="1179" w:type="dxa"/>
            <w:tcBorders>
              <w:top w:val="nil"/>
              <w:left w:val="nil"/>
              <w:bottom w:val="single" w:sz="4" w:space="0" w:color="auto"/>
              <w:right w:val="single" w:sz="4" w:space="0" w:color="auto"/>
            </w:tcBorders>
            <w:shd w:val="clear" w:color="auto" w:fill="auto"/>
            <w:noWrap/>
            <w:vAlign w:val="bottom"/>
            <w:hideMark/>
          </w:tcPr>
          <w:p w14:paraId="14CECA50"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0.21</w:t>
            </w:r>
          </w:p>
        </w:tc>
      </w:tr>
      <w:tr w:rsidR="002105E8" w:rsidRPr="002105E8" w14:paraId="3C938264"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54C38949"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600</w:t>
            </w:r>
          </w:p>
        </w:tc>
        <w:tc>
          <w:tcPr>
            <w:tcW w:w="746" w:type="dxa"/>
            <w:tcBorders>
              <w:top w:val="nil"/>
              <w:left w:val="nil"/>
              <w:bottom w:val="single" w:sz="4" w:space="0" w:color="auto"/>
              <w:right w:val="single" w:sz="4" w:space="0" w:color="auto"/>
            </w:tcBorders>
            <w:shd w:val="clear" w:color="auto" w:fill="auto"/>
            <w:vAlign w:val="bottom"/>
            <w:hideMark/>
          </w:tcPr>
          <w:p w14:paraId="6C76A4C9"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0.10</w:t>
            </w:r>
          </w:p>
        </w:tc>
        <w:tc>
          <w:tcPr>
            <w:tcW w:w="960" w:type="dxa"/>
            <w:tcBorders>
              <w:top w:val="nil"/>
              <w:left w:val="nil"/>
              <w:bottom w:val="single" w:sz="4" w:space="0" w:color="auto"/>
              <w:right w:val="single" w:sz="4" w:space="0" w:color="auto"/>
            </w:tcBorders>
            <w:shd w:val="clear" w:color="auto" w:fill="auto"/>
            <w:vAlign w:val="bottom"/>
            <w:hideMark/>
          </w:tcPr>
          <w:p w14:paraId="1E9CA91C"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0.07</w:t>
            </w:r>
          </w:p>
        </w:tc>
        <w:tc>
          <w:tcPr>
            <w:tcW w:w="1179" w:type="dxa"/>
            <w:tcBorders>
              <w:top w:val="nil"/>
              <w:left w:val="nil"/>
              <w:bottom w:val="single" w:sz="4" w:space="0" w:color="auto"/>
              <w:right w:val="single" w:sz="4" w:space="0" w:color="auto"/>
            </w:tcBorders>
            <w:shd w:val="clear" w:color="auto" w:fill="auto"/>
            <w:noWrap/>
            <w:vAlign w:val="bottom"/>
            <w:hideMark/>
          </w:tcPr>
          <w:p w14:paraId="7B1054D6"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0.23</w:t>
            </w:r>
          </w:p>
        </w:tc>
      </w:tr>
      <w:tr w:rsidR="002105E8" w:rsidRPr="002105E8" w14:paraId="7109127C"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01FDF87E"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550</w:t>
            </w:r>
          </w:p>
        </w:tc>
        <w:tc>
          <w:tcPr>
            <w:tcW w:w="746" w:type="dxa"/>
            <w:tcBorders>
              <w:top w:val="nil"/>
              <w:left w:val="nil"/>
              <w:bottom w:val="single" w:sz="4" w:space="0" w:color="auto"/>
              <w:right w:val="single" w:sz="4" w:space="0" w:color="auto"/>
            </w:tcBorders>
            <w:shd w:val="clear" w:color="auto" w:fill="auto"/>
            <w:vAlign w:val="bottom"/>
            <w:hideMark/>
          </w:tcPr>
          <w:p w14:paraId="0732BC2A"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0.11</w:t>
            </w:r>
          </w:p>
        </w:tc>
        <w:tc>
          <w:tcPr>
            <w:tcW w:w="960" w:type="dxa"/>
            <w:tcBorders>
              <w:top w:val="nil"/>
              <w:left w:val="nil"/>
              <w:bottom w:val="single" w:sz="4" w:space="0" w:color="auto"/>
              <w:right w:val="single" w:sz="4" w:space="0" w:color="auto"/>
            </w:tcBorders>
            <w:shd w:val="clear" w:color="auto" w:fill="auto"/>
            <w:vAlign w:val="bottom"/>
            <w:hideMark/>
          </w:tcPr>
          <w:p w14:paraId="40694830"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0.07</w:t>
            </w:r>
          </w:p>
        </w:tc>
        <w:tc>
          <w:tcPr>
            <w:tcW w:w="1179" w:type="dxa"/>
            <w:tcBorders>
              <w:top w:val="nil"/>
              <w:left w:val="nil"/>
              <w:bottom w:val="single" w:sz="4" w:space="0" w:color="auto"/>
              <w:right w:val="single" w:sz="4" w:space="0" w:color="auto"/>
            </w:tcBorders>
            <w:shd w:val="clear" w:color="auto" w:fill="auto"/>
            <w:noWrap/>
            <w:vAlign w:val="bottom"/>
            <w:hideMark/>
          </w:tcPr>
          <w:p w14:paraId="22033B5D"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0.25</w:t>
            </w:r>
          </w:p>
        </w:tc>
      </w:tr>
      <w:tr w:rsidR="002105E8" w:rsidRPr="002105E8" w14:paraId="753440F4"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041705A1"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500</w:t>
            </w:r>
          </w:p>
        </w:tc>
        <w:tc>
          <w:tcPr>
            <w:tcW w:w="746" w:type="dxa"/>
            <w:tcBorders>
              <w:top w:val="nil"/>
              <w:left w:val="nil"/>
              <w:bottom w:val="single" w:sz="4" w:space="0" w:color="auto"/>
              <w:right w:val="single" w:sz="4" w:space="0" w:color="auto"/>
            </w:tcBorders>
            <w:shd w:val="clear" w:color="auto" w:fill="auto"/>
            <w:vAlign w:val="bottom"/>
            <w:hideMark/>
          </w:tcPr>
          <w:p w14:paraId="023F983B"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0.12</w:t>
            </w:r>
          </w:p>
        </w:tc>
        <w:tc>
          <w:tcPr>
            <w:tcW w:w="960" w:type="dxa"/>
            <w:tcBorders>
              <w:top w:val="nil"/>
              <w:left w:val="nil"/>
              <w:bottom w:val="single" w:sz="4" w:space="0" w:color="auto"/>
              <w:right w:val="single" w:sz="4" w:space="0" w:color="auto"/>
            </w:tcBorders>
            <w:shd w:val="clear" w:color="auto" w:fill="auto"/>
            <w:vAlign w:val="bottom"/>
            <w:hideMark/>
          </w:tcPr>
          <w:p w14:paraId="5CBFBF63"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0.08</w:t>
            </w:r>
          </w:p>
        </w:tc>
        <w:tc>
          <w:tcPr>
            <w:tcW w:w="1179" w:type="dxa"/>
            <w:tcBorders>
              <w:top w:val="nil"/>
              <w:left w:val="nil"/>
              <w:bottom w:val="single" w:sz="4" w:space="0" w:color="auto"/>
              <w:right w:val="single" w:sz="4" w:space="0" w:color="auto"/>
            </w:tcBorders>
            <w:shd w:val="clear" w:color="auto" w:fill="auto"/>
            <w:noWrap/>
            <w:vAlign w:val="bottom"/>
            <w:hideMark/>
          </w:tcPr>
          <w:p w14:paraId="431E1C66"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0.28</w:t>
            </w:r>
          </w:p>
        </w:tc>
      </w:tr>
      <w:tr w:rsidR="002105E8" w:rsidRPr="002105E8" w14:paraId="6158F84D"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70ACD0EA"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450</w:t>
            </w:r>
          </w:p>
        </w:tc>
        <w:tc>
          <w:tcPr>
            <w:tcW w:w="746" w:type="dxa"/>
            <w:tcBorders>
              <w:top w:val="nil"/>
              <w:left w:val="nil"/>
              <w:bottom w:val="single" w:sz="4" w:space="0" w:color="auto"/>
              <w:right w:val="single" w:sz="4" w:space="0" w:color="auto"/>
            </w:tcBorders>
            <w:shd w:val="clear" w:color="auto" w:fill="auto"/>
            <w:vAlign w:val="bottom"/>
            <w:hideMark/>
          </w:tcPr>
          <w:p w14:paraId="30D7A003"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0.13</w:t>
            </w:r>
          </w:p>
        </w:tc>
        <w:tc>
          <w:tcPr>
            <w:tcW w:w="960" w:type="dxa"/>
            <w:tcBorders>
              <w:top w:val="nil"/>
              <w:left w:val="nil"/>
              <w:bottom w:val="single" w:sz="4" w:space="0" w:color="auto"/>
              <w:right w:val="single" w:sz="4" w:space="0" w:color="auto"/>
            </w:tcBorders>
            <w:shd w:val="clear" w:color="auto" w:fill="auto"/>
            <w:vAlign w:val="bottom"/>
            <w:hideMark/>
          </w:tcPr>
          <w:p w14:paraId="5B22686F"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0.09</w:t>
            </w:r>
          </w:p>
        </w:tc>
        <w:tc>
          <w:tcPr>
            <w:tcW w:w="1179" w:type="dxa"/>
            <w:tcBorders>
              <w:top w:val="nil"/>
              <w:left w:val="nil"/>
              <w:bottom w:val="single" w:sz="4" w:space="0" w:color="auto"/>
              <w:right w:val="single" w:sz="4" w:space="0" w:color="auto"/>
            </w:tcBorders>
            <w:shd w:val="clear" w:color="auto" w:fill="auto"/>
            <w:noWrap/>
            <w:vAlign w:val="bottom"/>
            <w:hideMark/>
          </w:tcPr>
          <w:p w14:paraId="520D3FE4"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0.31</w:t>
            </w:r>
          </w:p>
        </w:tc>
      </w:tr>
      <w:tr w:rsidR="002105E8" w:rsidRPr="002105E8" w14:paraId="70B4078A"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2D3A8016"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400</w:t>
            </w:r>
          </w:p>
        </w:tc>
        <w:tc>
          <w:tcPr>
            <w:tcW w:w="746" w:type="dxa"/>
            <w:tcBorders>
              <w:top w:val="nil"/>
              <w:left w:val="nil"/>
              <w:bottom w:val="single" w:sz="4" w:space="0" w:color="auto"/>
              <w:right w:val="single" w:sz="4" w:space="0" w:color="auto"/>
            </w:tcBorders>
            <w:shd w:val="clear" w:color="auto" w:fill="auto"/>
            <w:vAlign w:val="bottom"/>
            <w:hideMark/>
          </w:tcPr>
          <w:p w14:paraId="385084DD"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0.15</w:t>
            </w:r>
          </w:p>
        </w:tc>
        <w:tc>
          <w:tcPr>
            <w:tcW w:w="960" w:type="dxa"/>
            <w:tcBorders>
              <w:top w:val="nil"/>
              <w:left w:val="nil"/>
              <w:bottom w:val="single" w:sz="4" w:space="0" w:color="auto"/>
              <w:right w:val="single" w:sz="4" w:space="0" w:color="auto"/>
            </w:tcBorders>
            <w:shd w:val="clear" w:color="auto" w:fill="auto"/>
            <w:vAlign w:val="bottom"/>
            <w:hideMark/>
          </w:tcPr>
          <w:p w14:paraId="0405E6F5"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0.10</w:t>
            </w:r>
          </w:p>
        </w:tc>
        <w:tc>
          <w:tcPr>
            <w:tcW w:w="1179" w:type="dxa"/>
            <w:tcBorders>
              <w:top w:val="nil"/>
              <w:left w:val="nil"/>
              <w:bottom w:val="single" w:sz="4" w:space="0" w:color="auto"/>
              <w:right w:val="single" w:sz="4" w:space="0" w:color="auto"/>
            </w:tcBorders>
            <w:shd w:val="clear" w:color="auto" w:fill="auto"/>
            <w:noWrap/>
            <w:vAlign w:val="bottom"/>
            <w:hideMark/>
          </w:tcPr>
          <w:p w14:paraId="717A0238"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0.35</w:t>
            </w:r>
          </w:p>
        </w:tc>
      </w:tr>
      <w:tr w:rsidR="002105E8" w:rsidRPr="002105E8" w14:paraId="7A5D2089"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45923A3C"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350</w:t>
            </w:r>
          </w:p>
        </w:tc>
        <w:tc>
          <w:tcPr>
            <w:tcW w:w="746" w:type="dxa"/>
            <w:tcBorders>
              <w:top w:val="nil"/>
              <w:left w:val="nil"/>
              <w:bottom w:val="single" w:sz="4" w:space="0" w:color="auto"/>
              <w:right w:val="single" w:sz="4" w:space="0" w:color="auto"/>
            </w:tcBorders>
            <w:shd w:val="clear" w:color="auto" w:fill="auto"/>
            <w:vAlign w:val="bottom"/>
            <w:hideMark/>
          </w:tcPr>
          <w:p w14:paraId="15D0E871"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0.17</w:t>
            </w:r>
          </w:p>
        </w:tc>
        <w:tc>
          <w:tcPr>
            <w:tcW w:w="960" w:type="dxa"/>
            <w:tcBorders>
              <w:top w:val="nil"/>
              <w:left w:val="nil"/>
              <w:bottom w:val="single" w:sz="4" w:space="0" w:color="auto"/>
              <w:right w:val="single" w:sz="4" w:space="0" w:color="auto"/>
            </w:tcBorders>
            <w:shd w:val="clear" w:color="auto" w:fill="auto"/>
            <w:vAlign w:val="bottom"/>
            <w:hideMark/>
          </w:tcPr>
          <w:p w14:paraId="0A71E5F6"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0.12</w:t>
            </w:r>
          </w:p>
        </w:tc>
        <w:tc>
          <w:tcPr>
            <w:tcW w:w="1179" w:type="dxa"/>
            <w:tcBorders>
              <w:top w:val="nil"/>
              <w:left w:val="nil"/>
              <w:bottom w:val="single" w:sz="4" w:space="0" w:color="auto"/>
              <w:right w:val="single" w:sz="4" w:space="0" w:color="auto"/>
            </w:tcBorders>
            <w:shd w:val="clear" w:color="auto" w:fill="auto"/>
            <w:noWrap/>
            <w:vAlign w:val="bottom"/>
            <w:hideMark/>
          </w:tcPr>
          <w:p w14:paraId="4E8FB69A"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0.39</w:t>
            </w:r>
          </w:p>
        </w:tc>
      </w:tr>
      <w:tr w:rsidR="002105E8" w:rsidRPr="002105E8" w14:paraId="5FB82F5F"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61B62BDE"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300</w:t>
            </w:r>
          </w:p>
        </w:tc>
        <w:tc>
          <w:tcPr>
            <w:tcW w:w="746" w:type="dxa"/>
            <w:tcBorders>
              <w:top w:val="nil"/>
              <w:left w:val="nil"/>
              <w:bottom w:val="single" w:sz="4" w:space="0" w:color="auto"/>
              <w:right w:val="single" w:sz="4" w:space="0" w:color="auto"/>
            </w:tcBorders>
            <w:shd w:val="clear" w:color="auto" w:fill="auto"/>
            <w:vAlign w:val="bottom"/>
            <w:hideMark/>
          </w:tcPr>
          <w:p w14:paraId="24BDC67B"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0.20</w:t>
            </w:r>
          </w:p>
        </w:tc>
        <w:tc>
          <w:tcPr>
            <w:tcW w:w="960" w:type="dxa"/>
            <w:tcBorders>
              <w:top w:val="nil"/>
              <w:left w:val="nil"/>
              <w:bottom w:val="single" w:sz="4" w:space="0" w:color="auto"/>
              <w:right w:val="single" w:sz="4" w:space="0" w:color="auto"/>
            </w:tcBorders>
            <w:shd w:val="clear" w:color="auto" w:fill="auto"/>
            <w:vAlign w:val="bottom"/>
            <w:hideMark/>
          </w:tcPr>
          <w:p w14:paraId="1F742691"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0.14</w:t>
            </w:r>
          </w:p>
        </w:tc>
        <w:tc>
          <w:tcPr>
            <w:tcW w:w="1179" w:type="dxa"/>
            <w:tcBorders>
              <w:top w:val="nil"/>
              <w:left w:val="nil"/>
              <w:bottom w:val="single" w:sz="4" w:space="0" w:color="auto"/>
              <w:right w:val="single" w:sz="4" w:space="0" w:color="auto"/>
            </w:tcBorders>
            <w:shd w:val="clear" w:color="auto" w:fill="auto"/>
            <w:noWrap/>
            <w:vAlign w:val="bottom"/>
            <w:hideMark/>
          </w:tcPr>
          <w:p w14:paraId="45F83FE6"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0.46</w:t>
            </w:r>
          </w:p>
        </w:tc>
      </w:tr>
      <w:tr w:rsidR="002105E8" w:rsidRPr="002105E8" w14:paraId="10411FC8" w14:textId="77777777" w:rsidTr="00C710A3">
        <w:trPr>
          <w:trHeight w:val="288"/>
          <w:jc w:val="center"/>
        </w:trPr>
        <w:tc>
          <w:tcPr>
            <w:tcW w:w="965" w:type="dxa"/>
            <w:tcBorders>
              <w:top w:val="nil"/>
              <w:left w:val="single" w:sz="4" w:space="0" w:color="auto"/>
              <w:bottom w:val="single" w:sz="4" w:space="0" w:color="auto"/>
              <w:right w:val="single" w:sz="4" w:space="0" w:color="auto"/>
            </w:tcBorders>
            <w:shd w:val="clear" w:color="auto" w:fill="FFFF00"/>
            <w:vAlign w:val="bottom"/>
            <w:hideMark/>
          </w:tcPr>
          <w:p w14:paraId="37FE4107"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275</w:t>
            </w:r>
          </w:p>
        </w:tc>
        <w:tc>
          <w:tcPr>
            <w:tcW w:w="746" w:type="dxa"/>
            <w:tcBorders>
              <w:top w:val="nil"/>
              <w:left w:val="nil"/>
              <w:bottom w:val="single" w:sz="4" w:space="0" w:color="auto"/>
              <w:right w:val="single" w:sz="4" w:space="0" w:color="auto"/>
            </w:tcBorders>
            <w:shd w:val="clear" w:color="auto" w:fill="FFFF00"/>
            <w:vAlign w:val="bottom"/>
            <w:hideMark/>
          </w:tcPr>
          <w:p w14:paraId="30118A80"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0.22</w:t>
            </w:r>
          </w:p>
        </w:tc>
        <w:tc>
          <w:tcPr>
            <w:tcW w:w="960" w:type="dxa"/>
            <w:tcBorders>
              <w:top w:val="nil"/>
              <w:left w:val="nil"/>
              <w:bottom w:val="single" w:sz="4" w:space="0" w:color="auto"/>
              <w:right w:val="single" w:sz="4" w:space="0" w:color="auto"/>
            </w:tcBorders>
            <w:shd w:val="clear" w:color="auto" w:fill="FFFF00"/>
            <w:vAlign w:val="bottom"/>
            <w:hideMark/>
          </w:tcPr>
          <w:p w14:paraId="2BFB2BFD"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0.15</w:t>
            </w:r>
          </w:p>
        </w:tc>
        <w:tc>
          <w:tcPr>
            <w:tcW w:w="1179" w:type="dxa"/>
            <w:tcBorders>
              <w:top w:val="nil"/>
              <w:left w:val="nil"/>
              <w:bottom w:val="single" w:sz="4" w:space="0" w:color="auto"/>
              <w:right w:val="single" w:sz="4" w:space="0" w:color="auto"/>
            </w:tcBorders>
            <w:shd w:val="clear" w:color="auto" w:fill="FFFF00"/>
            <w:noWrap/>
            <w:vAlign w:val="bottom"/>
            <w:hideMark/>
          </w:tcPr>
          <w:p w14:paraId="5DD35A6E"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0.50</w:t>
            </w:r>
          </w:p>
        </w:tc>
      </w:tr>
      <w:tr w:rsidR="002105E8" w:rsidRPr="002105E8" w14:paraId="05745BDB" w14:textId="77777777" w:rsidTr="002105E8">
        <w:trPr>
          <w:trHeight w:val="288"/>
          <w:jc w:val="center"/>
        </w:trPr>
        <w:tc>
          <w:tcPr>
            <w:tcW w:w="965" w:type="dxa"/>
            <w:tcBorders>
              <w:top w:val="nil"/>
              <w:left w:val="single" w:sz="4" w:space="0" w:color="auto"/>
              <w:bottom w:val="single" w:sz="4" w:space="0" w:color="auto"/>
              <w:right w:val="single" w:sz="4" w:space="0" w:color="auto"/>
            </w:tcBorders>
            <w:shd w:val="clear" w:color="auto" w:fill="auto"/>
            <w:vAlign w:val="bottom"/>
            <w:hideMark/>
          </w:tcPr>
          <w:p w14:paraId="2D6CEBC3"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250</w:t>
            </w:r>
          </w:p>
        </w:tc>
        <w:tc>
          <w:tcPr>
            <w:tcW w:w="746" w:type="dxa"/>
            <w:tcBorders>
              <w:top w:val="nil"/>
              <w:left w:val="nil"/>
              <w:bottom w:val="single" w:sz="4" w:space="0" w:color="auto"/>
              <w:right w:val="single" w:sz="4" w:space="0" w:color="auto"/>
            </w:tcBorders>
            <w:shd w:val="clear" w:color="auto" w:fill="auto"/>
            <w:vAlign w:val="bottom"/>
            <w:hideMark/>
          </w:tcPr>
          <w:p w14:paraId="469D62D8"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0.24</w:t>
            </w:r>
          </w:p>
        </w:tc>
        <w:tc>
          <w:tcPr>
            <w:tcW w:w="960" w:type="dxa"/>
            <w:tcBorders>
              <w:top w:val="nil"/>
              <w:left w:val="nil"/>
              <w:bottom w:val="single" w:sz="4" w:space="0" w:color="auto"/>
              <w:right w:val="single" w:sz="4" w:space="0" w:color="auto"/>
            </w:tcBorders>
            <w:shd w:val="clear" w:color="auto" w:fill="auto"/>
            <w:vAlign w:val="bottom"/>
            <w:hideMark/>
          </w:tcPr>
          <w:p w14:paraId="1EE5CB7E"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0.16</w:t>
            </w:r>
          </w:p>
        </w:tc>
        <w:tc>
          <w:tcPr>
            <w:tcW w:w="1179" w:type="dxa"/>
            <w:tcBorders>
              <w:top w:val="nil"/>
              <w:left w:val="nil"/>
              <w:bottom w:val="single" w:sz="4" w:space="0" w:color="auto"/>
              <w:right w:val="single" w:sz="4" w:space="0" w:color="auto"/>
            </w:tcBorders>
            <w:shd w:val="clear" w:color="auto" w:fill="auto"/>
            <w:noWrap/>
            <w:vAlign w:val="bottom"/>
            <w:hideMark/>
          </w:tcPr>
          <w:p w14:paraId="70BC5E23" w14:textId="77777777" w:rsidR="002105E8" w:rsidRPr="002105E8" w:rsidRDefault="002105E8" w:rsidP="00B41B9C">
            <w:pPr>
              <w:spacing w:after="0"/>
              <w:jc w:val="center"/>
              <w:rPr>
                <w:rFonts w:eastAsia="Times New Roman"/>
                <w:color w:val="000000"/>
                <w:sz w:val="22"/>
                <w:szCs w:val="22"/>
                <w:lang w:val="en-US"/>
              </w:rPr>
            </w:pPr>
            <w:r w:rsidRPr="002105E8">
              <w:rPr>
                <w:rFonts w:eastAsia="Times New Roman"/>
                <w:color w:val="000000"/>
                <w:sz w:val="22"/>
                <w:szCs w:val="22"/>
                <w:lang w:val="en-US"/>
              </w:rPr>
              <w:t>0.55</w:t>
            </w:r>
          </w:p>
        </w:tc>
      </w:tr>
    </w:tbl>
    <w:p w14:paraId="48DEB5FC" w14:textId="77777777" w:rsidR="00F476C9" w:rsidRDefault="00F476C9" w:rsidP="00225A71"/>
    <w:p w14:paraId="1A070F5F" w14:textId="207F25ED" w:rsidR="00225A71" w:rsidRDefault="002105E8" w:rsidP="00225A71">
      <w:r>
        <w:t xml:space="preserve">Based on the </w:t>
      </w:r>
      <w:r w:rsidR="00225A71">
        <w:t>previously agreed limit of Offset</w:t>
      </w:r>
      <w:r w:rsidR="00225A71" w:rsidRPr="00225A71">
        <w:rPr>
          <w:vertAlign w:val="subscript"/>
        </w:rPr>
        <w:t>5%CDF</w:t>
      </w:r>
      <w:r w:rsidR="00225A71">
        <w:t xml:space="preserve"> of 0.5dB (systematic error), the following minimum number of grid points would be required </w:t>
      </w:r>
    </w:p>
    <w:p w14:paraId="7E0D2C4B" w14:textId="19AEDE88" w:rsidR="00225A71" w:rsidRPr="00225A71" w:rsidRDefault="00225A71" w:rsidP="00225A71">
      <w:pPr>
        <w:pStyle w:val="ListParagraph"/>
        <w:numPr>
          <w:ilvl w:val="0"/>
          <w:numId w:val="43"/>
        </w:numPr>
      </w:pPr>
      <w:r w:rsidRPr="00225A71">
        <w:t>Constant density grid with at least 275 grid points</w:t>
      </w:r>
    </w:p>
    <w:p w14:paraId="5A693FD1" w14:textId="224963CA" w:rsidR="00225A71" w:rsidRPr="00225A71" w:rsidRDefault="00225A71" w:rsidP="00225A71">
      <w:pPr>
        <w:numPr>
          <w:ilvl w:val="0"/>
          <w:numId w:val="43"/>
        </w:numPr>
        <w:spacing w:after="0"/>
      </w:pPr>
      <w:r w:rsidRPr="00225A71">
        <w:t xml:space="preserve">Constant step size grid with at least </w:t>
      </w:r>
      <w:r w:rsidR="004D16F9">
        <w:t>366</w:t>
      </w:r>
      <w:r w:rsidRPr="00225A71">
        <w:t xml:space="preserve"> grid points</w:t>
      </w:r>
    </w:p>
    <w:p w14:paraId="1991F793" w14:textId="0F2DA181" w:rsidR="00225A71" w:rsidRDefault="00225A71" w:rsidP="00E03F11"/>
    <w:p w14:paraId="649983D7" w14:textId="6C22D56F" w:rsidR="00225A71" w:rsidRDefault="00225A71" w:rsidP="00E03F11">
      <w:r>
        <w:t>The improvement in the number of grid points and the corresponding improvement</w:t>
      </w:r>
      <w:r w:rsidR="00F476C9">
        <w:t xml:space="preserve"> is summarized in </w:t>
      </w:r>
      <w:r w:rsidR="00F476C9">
        <w:fldChar w:fldCharType="begin"/>
      </w:r>
      <w:r w:rsidR="00F476C9">
        <w:instrText xml:space="preserve"> REF _Ref59197778 \h </w:instrText>
      </w:r>
      <w:r w:rsidR="00F476C9">
        <w:fldChar w:fldCharType="separate"/>
      </w:r>
      <w:r w:rsidR="00F476C9">
        <w:t xml:space="preserve">Table </w:t>
      </w:r>
      <w:r w:rsidR="00F476C9">
        <w:rPr>
          <w:noProof/>
        </w:rPr>
        <w:t>3</w:t>
      </w:r>
      <w:r w:rsidR="00F476C9">
        <w:fldChar w:fldCharType="end"/>
      </w:r>
      <w:r w:rsidR="00F476C9">
        <w:t xml:space="preserve">. Clearly, the more relaxed antenna assumption of </w:t>
      </w:r>
      <w:r w:rsidR="00C710A3">
        <w:t>the</w:t>
      </w:r>
      <w:r w:rsidR="00F476C9">
        <w:t xml:space="preserve"> 4x2 antenna array vs </w:t>
      </w:r>
      <w:r w:rsidR="00C710A3">
        <w:t>the</w:t>
      </w:r>
      <w:r w:rsidR="00F476C9">
        <w:t xml:space="preserve"> 8x2 antenna array will allow a reduction of grid points and correspondingly test time for the TX/RX beam peak searches of ~3. </w:t>
      </w:r>
    </w:p>
    <w:p w14:paraId="092EAEA2" w14:textId="28E12E58" w:rsidR="00F476C9" w:rsidRDefault="00F476C9" w:rsidP="00F476C9">
      <w:pPr>
        <w:pStyle w:val="Caption"/>
      </w:pPr>
      <w:bookmarkStart w:id="7" w:name="_Ref59449530"/>
      <w:r>
        <w:lastRenderedPageBreak/>
        <w:t xml:space="preserve">Observation </w:t>
      </w:r>
      <w:r>
        <w:fldChar w:fldCharType="begin"/>
      </w:r>
      <w:r>
        <w:instrText xml:space="preserve"> SEQ Observation \* ARABIC </w:instrText>
      </w:r>
      <w:r>
        <w:fldChar w:fldCharType="separate"/>
      </w:r>
      <w:r>
        <w:rPr>
          <w:noProof/>
        </w:rPr>
        <w:t>1</w:t>
      </w:r>
      <w:r>
        <w:fldChar w:fldCharType="end"/>
      </w:r>
      <w:r>
        <w:t>: Revised antenna assumptions (4x2 vs 8x2) for PC3 devices yield a reduction of grid points of ~3 for beam peak searc</w:t>
      </w:r>
      <w:r w:rsidR="004B11FE">
        <w:t>hes</w:t>
      </w:r>
      <w:r>
        <w:t>.</w:t>
      </w:r>
      <w:bookmarkEnd w:id="7"/>
      <w:r>
        <w:t xml:space="preserve"> </w:t>
      </w:r>
    </w:p>
    <w:p w14:paraId="7167E7B4" w14:textId="784753EA" w:rsidR="00F476C9" w:rsidRDefault="00F476C9">
      <w:pPr>
        <w:spacing w:after="0"/>
        <w:rPr>
          <w:b/>
        </w:rPr>
      </w:pPr>
      <w:bookmarkStart w:id="8" w:name="_Ref59197778"/>
    </w:p>
    <w:p w14:paraId="3B3A4AEB" w14:textId="5EEE2756" w:rsidR="00225A71" w:rsidRDefault="00225A71" w:rsidP="00225A71">
      <w:pPr>
        <w:pStyle w:val="Caption"/>
        <w:jc w:val="center"/>
      </w:pPr>
      <w:r>
        <w:t xml:space="preserve">Table </w:t>
      </w:r>
      <w:r>
        <w:fldChar w:fldCharType="begin"/>
      </w:r>
      <w:r>
        <w:instrText xml:space="preserve"> SEQ Table \* ARABIC </w:instrText>
      </w:r>
      <w:r>
        <w:fldChar w:fldCharType="separate"/>
      </w:r>
      <w:r w:rsidR="00F476C9">
        <w:rPr>
          <w:noProof/>
        </w:rPr>
        <w:t>3</w:t>
      </w:r>
      <w:r>
        <w:fldChar w:fldCharType="end"/>
      </w:r>
      <w:bookmarkEnd w:id="8"/>
      <w:r>
        <w:t>: Min Number of Grid Points for TX/RX Beam Peak Search</w:t>
      </w:r>
    </w:p>
    <w:tbl>
      <w:tblPr>
        <w:tblW w:w="5560" w:type="dxa"/>
        <w:jc w:val="center"/>
        <w:tblLook w:val="04A0" w:firstRow="1" w:lastRow="0" w:firstColumn="1" w:lastColumn="0" w:noHBand="0" w:noVBand="1"/>
      </w:tblPr>
      <w:tblGrid>
        <w:gridCol w:w="2140"/>
        <w:gridCol w:w="960"/>
        <w:gridCol w:w="960"/>
        <w:gridCol w:w="1500"/>
      </w:tblGrid>
      <w:tr w:rsidR="00225A71" w:rsidRPr="00225A71" w14:paraId="3DCE357B" w14:textId="77777777" w:rsidTr="004D16F9">
        <w:trPr>
          <w:trHeight w:val="1452"/>
          <w:jc w:val="center"/>
        </w:trPr>
        <w:tc>
          <w:tcPr>
            <w:tcW w:w="2140"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CF0E58F" w14:textId="77777777" w:rsidR="00225A71" w:rsidRPr="00225A71" w:rsidRDefault="00225A71" w:rsidP="00225A71">
            <w:pPr>
              <w:spacing w:after="0"/>
              <w:jc w:val="center"/>
              <w:rPr>
                <w:rFonts w:eastAsia="Times New Roman"/>
                <w:b/>
                <w:bCs/>
                <w:color w:val="000000"/>
                <w:sz w:val="22"/>
                <w:szCs w:val="22"/>
                <w:lang w:val="en-US"/>
              </w:rPr>
            </w:pPr>
            <w:r w:rsidRPr="00225A71">
              <w:rPr>
                <w:rFonts w:eastAsia="Times New Roman"/>
                <w:b/>
                <w:bCs/>
                <w:color w:val="000000"/>
                <w:sz w:val="22"/>
                <w:szCs w:val="22"/>
                <w:lang w:val="en-US"/>
              </w:rPr>
              <w:t xml:space="preserve">                   Antenna</w:t>
            </w:r>
            <w:r w:rsidRPr="00225A71">
              <w:rPr>
                <w:rFonts w:eastAsia="Times New Roman"/>
                <w:b/>
                <w:bCs/>
                <w:color w:val="000000"/>
                <w:sz w:val="22"/>
                <w:szCs w:val="22"/>
                <w:lang w:val="en-US"/>
              </w:rPr>
              <w:br/>
              <w:t xml:space="preserve">              Assumption</w:t>
            </w:r>
            <w:r w:rsidRPr="00225A71">
              <w:rPr>
                <w:rFonts w:eastAsia="Times New Roman"/>
                <w:b/>
                <w:bCs/>
                <w:color w:val="000000"/>
                <w:sz w:val="22"/>
                <w:szCs w:val="22"/>
                <w:lang w:val="en-US"/>
              </w:rPr>
              <w:br/>
            </w:r>
            <w:r w:rsidRPr="00225A71">
              <w:rPr>
                <w:rFonts w:eastAsia="Times New Roman"/>
                <w:b/>
                <w:bCs/>
                <w:color w:val="000000"/>
                <w:sz w:val="22"/>
                <w:szCs w:val="22"/>
                <w:lang w:val="en-US"/>
              </w:rPr>
              <w:br/>
            </w:r>
            <w:r w:rsidRPr="00225A71">
              <w:rPr>
                <w:rFonts w:eastAsia="Times New Roman"/>
                <w:b/>
                <w:bCs/>
                <w:color w:val="000000"/>
                <w:sz w:val="22"/>
                <w:szCs w:val="22"/>
                <w:lang w:val="en-US"/>
              </w:rPr>
              <w:br/>
              <w:t>Grid Type</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0A379B1" w14:textId="77777777" w:rsidR="00225A71" w:rsidRPr="00225A71" w:rsidRDefault="00225A71" w:rsidP="00225A71">
            <w:pPr>
              <w:spacing w:after="0"/>
              <w:jc w:val="center"/>
              <w:rPr>
                <w:rFonts w:eastAsia="Times New Roman"/>
                <w:b/>
                <w:bCs/>
                <w:color w:val="000000"/>
                <w:sz w:val="22"/>
                <w:szCs w:val="22"/>
                <w:lang w:val="en-US"/>
              </w:rPr>
            </w:pPr>
            <w:r w:rsidRPr="00225A71">
              <w:rPr>
                <w:rFonts w:eastAsia="Times New Roman"/>
                <w:b/>
                <w:bCs/>
                <w:color w:val="000000"/>
                <w:sz w:val="22"/>
                <w:szCs w:val="22"/>
                <w:lang w:val="en-US"/>
              </w:rPr>
              <w:t>8x2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A802D81" w14:textId="77777777" w:rsidR="00225A71" w:rsidRPr="00225A71" w:rsidRDefault="00225A71" w:rsidP="00225A71">
            <w:pPr>
              <w:spacing w:after="0"/>
              <w:jc w:val="center"/>
              <w:rPr>
                <w:rFonts w:eastAsia="Times New Roman"/>
                <w:b/>
                <w:bCs/>
                <w:color w:val="000000"/>
                <w:sz w:val="22"/>
                <w:szCs w:val="22"/>
                <w:lang w:val="en-US"/>
              </w:rPr>
            </w:pPr>
            <w:r w:rsidRPr="00225A71">
              <w:rPr>
                <w:rFonts w:eastAsia="Times New Roman"/>
                <w:b/>
                <w:bCs/>
                <w:color w:val="000000"/>
                <w:sz w:val="22"/>
                <w:szCs w:val="22"/>
                <w:lang w:val="en-US"/>
              </w:rPr>
              <w:t>4x2</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425E7C2A" w14:textId="77777777" w:rsidR="00225A71" w:rsidRPr="00225A71" w:rsidRDefault="00225A71" w:rsidP="00225A71">
            <w:pPr>
              <w:spacing w:after="0"/>
              <w:jc w:val="center"/>
              <w:rPr>
                <w:rFonts w:eastAsia="Times New Roman"/>
                <w:b/>
                <w:bCs/>
                <w:color w:val="000000"/>
                <w:sz w:val="22"/>
                <w:szCs w:val="22"/>
                <w:lang w:val="en-US"/>
              </w:rPr>
            </w:pPr>
            <w:r w:rsidRPr="00225A71">
              <w:rPr>
                <w:rFonts w:eastAsia="Times New Roman"/>
                <w:b/>
                <w:bCs/>
                <w:color w:val="000000"/>
                <w:sz w:val="22"/>
                <w:szCs w:val="22"/>
                <w:lang w:val="en-US"/>
              </w:rPr>
              <w:t>Factor of Improvement</w:t>
            </w:r>
          </w:p>
        </w:tc>
      </w:tr>
      <w:tr w:rsidR="004D16F9" w:rsidRPr="00225A71" w14:paraId="4159A37E" w14:textId="77777777" w:rsidTr="004D16F9">
        <w:trPr>
          <w:trHeight w:val="288"/>
          <w:jc w:val="center"/>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AE68627" w14:textId="77777777" w:rsidR="004D16F9" w:rsidRPr="00225A71" w:rsidRDefault="004D16F9" w:rsidP="004D16F9">
            <w:pPr>
              <w:spacing w:after="0"/>
              <w:rPr>
                <w:rFonts w:eastAsia="Times New Roman"/>
                <w:b/>
                <w:bCs/>
                <w:color w:val="000000"/>
                <w:sz w:val="22"/>
                <w:szCs w:val="22"/>
                <w:lang w:val="en-US"/>
              </w:rPr>
            </w:pPr>
            <w:r w:rsidRPr="00225A71">
              <w:rPr>
                <w:rFonts w:eastAsia="Times New Roman"/>
                <w:b/>
                <w:bCs/>
                <w:color w:val="000000"/>
                <w:sz w:val="22"/>
                <w:szCs w:val="22"/>
                <w:lang w:val="en-US"/>
              </w:rPr>
              <w:t>Constant-Step Size</w:t>
            </w:r>
          </w:p>
        </w:tc>
        <w:tc>
          <w:tcPr>
            <w:tcW w:w="960" w:type="dxa"/>
            <w:tcBorders>
              <w:top w:val="nil"/>
              <w:left w:val="nil"/>
              <w:bottom w:val="single" w:sz="4" w:space="0" w:color="auto"/>
              <w:right w:val="single" w:sz="4" w:space="0" w:color="auto"/>
            </w:tcBorders>
            <w:shd w:val="clear" w:color="auto" w:fill="auto"/>
            <w:noWrap/>
            <w:vAlign w:val="bottom"/>
            <w:hideMark/>
          </w:tcPr>
          <w:p w14:paraId="68B5512B" w14:textId="77777777" w:rsidR="004D16F9" w:rsidRPr="00225A71" w:rsidRDefault="004D16F9" w:rsidP="004D16F9">
            <w:pPr>
              <w:spacing w:after="0"/>
              <w:jc w:val="center"/>
              <w:rPr>
                <w:rFonts w:eastAsia="Times New Roman"/>
                <w:color w:val="000000"/>
                <w:sz w:val="22"/>
                <w:szCs w:val="22"/>
                <w:lang w:val="en-US"/>
              </w:rPr>
            </w:pPr>
            <w:r w:rsidRPr="00225A71">
              <w:rPr>
                <w:rFonts w:eastAsia="Times New Roman"/>
                <w:color w:val="000000"/>
                <w:sz w:val="22"/>
                <w:szCs w:val="22"/>
                <w:lang w:val="en-US"/>
              </w:rPr>
              <w:t>1176</w:t>
            </w:r>
          </w:p>
        </w:tc>
        <w:tc>
          <w:tcPr>
            <w:tcW w:w="960" w:type="dxa"/>
            <w:tcBorders>
              <w:top w:val="nil"/>
              <w:left w:val="nil"/>
              <w:bottom w:val="single" w:sz="4" w:space="0" w:color="auto"/>
              <w:right w:val="single" w:sz="4" w:space="0" w:color="auto"/>
            </w:tcBorders>
            <w:shd w:val="clear" w:color="auto" w:fill="auto"/>
            <w:noWrap/>
            <w:vAlign w:val="bottom"/>
            <w:hideMark/>
          </w:tcPr>
          <w:p w14:paraId="0EF7D802" w14:textId="17944627" w:rsidR="004D16F9" w:rsidRPr="00225A71" w:rsidRDefault="004D16F9" w:rsidP="004D16F9">
            <w:pPr>
              <w:spacing w:after="0"/>
              <w:jc w:val="center"/>
              <w:rPr>
                <w:rFonts w:eastAsia="Times New Roman"/>
                <w:color w:val="000000"/>
                <w:sz w:val="22"/>
                <w:szCs w:val="22"/>
                <w:lang w:val="en-US"/>
              </w:rPr>
            </w:pPr>
            <w:r>
              <w:rPr>
                <w:color w:val="000000"/>
                <w:sz w:val="22"/>
                <w:szCs w:val="22"/>
              </w:rPr>
              <w:t>366</w:t>
            </w:r>
          </w:p>
        </w:tc>
        <w:tc>
          <w:tcPr>
            <w:tcW w:w="1500" w:type="dxa"/>
            <w:tcBorders>
              <w:top w:val="nil"/>
              <w:left w:val="nil"/>
              <w:bottom w:val="single" w:sz="4" w:space="0" w:color="auto"/>
              <w:right w:val="single" w:sz="4" w:space="0" w:color="auto"/>
            </w:tcBorders>
            <w:shd w:val="clear" w:color="auto" w:fill="auto"/>
            <w:noWrap/>
            <w:vAlign w:val="bottom"/>
            <w:hideMark/>
          </w:tcPr>
          <w:p w14:paraId="55268218" w14:textId="65E7E8C2" w:rsidR="004D16F9" w:rsidRPr="00225A71" w:rsidRDefault="004D16F9" w:rsidP="004D16F9">
            <w:pPr>
              <w:spacing w:after="0"/>
              <w:jc w:val="center"/>
              <w:rPr>
                <w:rFonts w:eastAsia="Times New Roman"/>
                <w:color w:val="000000"/>
                <w:sz w:val="22"/>
                <w:szCs w:val="22"/>
                <w:lang w:val="en-US"/>
              </w:rPr>
            </w:pPr>
            <w:r>
              <w:rPr>
                <w:color w:val="000000"/>
                <w:sz w:val="22"/>
                <w:szCs w:val="22"/>
              </w:rPr>
              <w:t>3.2</w:t>
            </w:r>
          </w:p>
        </w:tc>
      </w:tr>
      <w:tr w:rsidR="004D16F9" w:rsidRPr="00225A71" w14:paraId="17F619B7" w14:textId="77777777" w:rsidTr="004D16F9">
        <w:trPr>
          <w:trHeight w:val="288"/>
          <w:jc w:val="center"/>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6E1EB45" w14:textId="77777777" w:rsidR="004D16F9" w:rsidRPr="00225A71" w:rsidRDefault="004D16F9" w:rsidP="004D16F9">
            <w:pPr>
              <w:spacing w:after="0"/>
              <w:rPr>
                <w:rFonts w:eastAsia="Times New Roman"/>
                <w:b/>
                <w:bCs/>
                <w:color w:val="000000"/>
                <w:sz w:val="22"/>
                <w:szCs w:val="22"/>
                <w:lang w:val="en-US"/>
              </w:rPr>
            </w:pPr>
            <w:r w:rsidRPr="00225A71">
              <w:rPr>
                <w:rFonts w:eastAsia="Times New Roman"/>
                <w:b/>
                <w:bCs/>
                <w:color w:val="000000"/>
                <w:sz w:val="22"/>
                <w:szCs w:val="22"/>
                <w:lang w:val="en-US"/>
              </w:rPr>
              <w:t>Constant-Density</w:t>
            </w:r>
          </w:p>
        </w:tc>
        <w:tc>
          <w:tcPr>
            <w:tcW w:w="960" w:type="dxa"/>
            <w:tcBorders>
              <w:top w:val="nil"/>
              <w:left w:val="nil"/>
              <w:bottom w:val="single" w:sz="4" w:space="0" w:color="auto"/>
              <w:right w:val="single" w:sz="4" w:space="0" w:color="auto"/>
            </w:tcBorders>
            <w:shd w:val="clear" w:color="auto" w:fill="auto"/>
            <w:noWrap/>
            <w:vAlign w:val="bottom"/>
            <w:hideMark/>
          </w:tcPr>
          <w:p w14:paraId="440B8F62" w14:textId="77777777" w:rsidR="004D16F9" w:rsidRPr="00225A71" w:rsidRDefault="004D16F9" w:rsidP="004D16F9">
            <w:pPr>
              <w:spacing w:after="0"/>
              <w:jc w:val="center"/>
              <w:rPr>
                <w:rFonts w:eastAsia="Times New Roman"/>
                <w:color w:val="000000"/>
                <w:sz w:val="22"/>
                <w:szCs w:val="22"/>
                <w:lang w:val="en-US"/>
              </w:rPr>
            </w:pPr>
            <w:r w:rsidRPr="00225A71">
              <w:rPr>
                <w:rFonts w:eastAsia="Times New Roman"/>
                <w:color w:val="000000"/>
                <w:sz w:val="22"/>
                <w:szCs w:val="22"/>
                <w:lang w:val="en-US"/>
              </w:rPr>
              <w:t>800</w:t>
            </w:r>
          </w:p>
        </w:tc>
        <w:tc>
          <w:tcPr>
            <w:tcW w:w="960" w:type="dxa"/>
            <w:tcBorders>
              <w:top w:val="nil"/>
              <w:left w:val="nil"/>
              <w:bottom w:val="single" w:sz="4" w:space="0" w:color="auto"/>
              <w:right w:val="single" w:sz="4" w:space="0" w:color="auto"/>
            </w:tcBorders>
            <w:shd w:val="clear" w:color="auto" w:fill="auto"/>
            <w:noWrap/>
            <w:vAlign w:val="bottom"/>
            <w:hideMark/>
          </w:tcPr>
          <w:p w14:paraId="0A8869DD" w14:textId="0811470D" w:rsidR="004D16F9" w:rsidRPr="00225A71" w:rsidRDefault="004D16F9" w:rsidP="004D16F9">
            <w:pPr>
              <w:spacing w:after="0"/>
              <w:jc w:val="center"/>
              <w:rPr>
                <w:rFonts w:eastAsia="Times New Roman"/>
                <w:color w:val="000000"/>
                <w:sz w:val="22"/>
                <w:szCs w:val="22"/>
                <w:lang w:val="en-US"/>
              </w:rPr>
            </w:pPr>
            <w:r>
              <w:rPr>
                <w:color w:val="000000"/>
                <w:sz w:val="22"/>
                <w:szCs w:val="22"/>
              </w:rPr>
              <w:t>275</w:t>
            </w:r>
          </w:p>
        </w:tc>
        <w:tc>
          <w:tcPr>
            <w:tcW w:w="1500" w:type="dxa"/>
            <w:tcBorders>
              <w:top w:val="nil"/>
              <w:left w:val="nil"/>
              <w:bottom w:val="single" w:sz="4" w:space="0" w:color="auto"/>
              <w:right w:val="single" w:sz="4" w:space="0" w:color="auto"/>
            </w:tcBorders>
            <w:shd w:val="clear" w:color="auto" w:fill="auto"/>
            <w:noWrap/>
            <w:vAlign w:val="bottom"/>
            <w:hideMark/>
          </w:tcPr>
          <w:p w14:paraId="2E51ECCC" w14:textId="2E6AC7A7" w:rsidR="004D16F9" w:rsidRPr="00225A71" w:rsidRDefault="004D16F9" w:rsidP="004D16F9">
            <w:pPr>
              <w:spacing w:after="0"/>
              <w:jc w:val="center"/>
              <w:rPr>
                <w:rFonts w:eastAsia="Times New Roman"/>
                <w:color w:val="000000"/>
                <w:sz w:val="22"/>
                <w:szCs w:val="22"/>
                <w:lang w:val="en-US"/>
              </w:rPr>
            </w:pPr>
            <w:r>
              <w:rPr>
                <w:color w:val="000000"/>
                <w:sz w:val="22"/>
                <w:szCs w:val="22"/>
              </w:rPr>
              <w:t>2.9</w:t>
            </w:r>
          </w:p>
        </w:tc>
      </w:tr>
    </w:tbl>
    <w:p w14:paraId="4D820152" w14:textId="71446024" w:rsidR="00225A71" w:rsidRDefault="00225A71" w:rsidP="00E03F11"/>
    <w:p w14:paraId="1ECB7DED" w14:textId="77777777" w:rsidR="000820B4" w:rsidRDefault="000820B4" w:rsidP="000820B4">
      <w:r w:rsidRPr="0072749C">
        <w:t>Since RAN5 has decided on maximum test system uncertainties and test tolerances already, it is not suggested to change the assumptions at this point as this will have significant impact in RAN5</w:t>
      </w:r>
      <w:r>
        <w:t xml:space="preserve"> and industry since changes in MU/MTSU could have impact on certifications and test platform validations</w:t>
      </w:r>
      <w:r w:rsidRPr="0072749C">
        <w:t>.</w:t>
      </w:r>
      <w:r>
        <w:t xml:space="preserve"> It is therefore proposed not to adjust the antenna array assumptions that will lead to MU/MTSU/TT changes in RAN5. </w:t>
      </w:r>
    </w:p>
    <w:p w14:paraId="7FAAB241" w14:textId="77777777" w:rsidR="000820B4" w:rsidRDefault="000820B4" w:rsidP="000820B4">
      <w:pPr>
        <w:pStyle w:val="Caption"/>
      </w:pPr>
      <w:bookmarkStart w:id="9" w:name="_Ref61611405"/>
      <w:r>
        <w:t xml:space="preserve">Proposal </w:t>
      </w:r>
      <w:r>
        <w:fldChar w:fldCharType="begin"/>
      </w:r>
      <w:r>
        <w:instrText xml:space="preserve"> SEQ Proposal \* ARABIC </w:instrText>
      </w:r>
      <w:r>
        <w:fldChar w:fldCharType="separate"/>
      </w:r>
      <w:r>
        <w:rPr>
          <w:noProof/>
        </w:rPr>
        <w:t>1</w:t>
      </w:r>
      <w:r>
        <w:fldChar w:fldCharType="end"/>
      </w:r>
      <w:r>
        <w:t>: Do not adopt the 4x2 array assumption to replace the worst-case 8x2 antenna assumption due to the impact in RAN5 and industry</w:t>
      </w:r>
      <w:bookmarkEnd w:id="9"/>
    </w:p>
    <w:p w14:paraId="67293C49" w14:textId="54957972" w:rsidR="00F476C9" w:rsidRDefault="00F476C9" w:rsidP="00E03F11">
      <w:r>
        <w:t>It is furthermore proposed to keep all system-related assumptions</w:t>
      </w:r>
      <w:r w:rsidR="00C710A3">
        <w:t>, e.g., related to max antenna aperture</w:t>
      </w:r>
      <w:r>
        <w:t xml:space="preserve"> </w:t>
      </w:r>
      <w:r w:rsidR="00C710A3">
        <w:t>of 5cm</w:t>
      </w:r>
      <w:r w:rsidR="000820B4">
        <w:t xml:space="preserve"> for PC3</w:t>
      </w:r>
      <w:r w:rsidR="00C710A3">
        <w:t xml:space="preserve">, </w:t>
      </w:r>
      <w:r>
        <w:t>based on the 8x2 antenna array assumptions</w:t>
      </w:r>
      <w:r w:rsidR="004B11FE">
        <w:t xml:space="preserve">. </w:t>
      </w:r>
    </w:p>
    <w:p w14:paraId="47552ACC" w14:textId="25C0F4E9" w:rsidR="00F476C9" w:rsidRDefault="004B11FE" w:rsidP="004B11FE">
      <w:pPr>
        <w:pStyle w:val="Caption"/>
      </w:pPr>
      <w:bookmarkStart w:id="10" w:name="_Ref59449531"/>
      <w:r>
        <w:t xml:space="preserve">Proposal </w:t>
      </w:r>
      <w:r>
        <w:fldChar w:fldCharType="begin"/>
      </w:r>
      <w:r>
        <w:instrText xml:space="preserve"> SEQ Proposal \* ARABIC </w:instrText>
      </w:r>
      <w:r>
        <w:fldChar w:fldCharType="separate"/>
      </w:r>
      <w:r w:rsidR="0072749C">
        <w:rPr>
          <w:noProof/>
        </w:rPr>
        <w:t>2</w:t>
      </w:r>
      <w:r>
        <w:fldChar w:fldCharType="end"/>
      </w:r>
      <w:r>
        <w:t xml:space="preserve">: Keep </w:t>
      </w:r>
      <w:r w:rsidR="000820B4">
        <w:t>the</w:t>
      </w:r>
      <w:r>
        <w:t xml:space="preserve"> system-related assumptions unchanged in RAN5, i.e., based on the previously agreed worst case 8x2 assumptions.</w:t>
      </w:r>
      <w:bookmarkEnd w:id="10"/>
    </w:p>
    <w:p w14:paraId="0F35516D" w14:textId="5432F023" w:rsidR="000820B4" w:rsidRDefault="000820B4" w:rsidP="000820B4">
      <w:r>
        <w:t xml:space="preserve">Given the improvement in test time, it is proposed to inform RAN5 to allow the beam peak search measurement grid requirements to be relaxed based on an optional vendor declaration. This relaxation should only be applicable to beam peak searches. </w:t>
      </w:r>
    </w:p>
    <w:p w14:paraId="079619F0" w14:textId="28E41522" w:rsidR="004B11FE" w:rsidRDefault="004B11FE" w:rsidP="004B11FE">
      <w:pPr>
        <w:pStyle w:val="Caption"/>
      </w:pPr>
      <w:bookmarkStart w:id="11" w:name="_Ref59449532"/>
      <w:r>
        <w:t xml:space="preserve">Proposal </w:t>
      </w:r>
      <w:r>
        <w:fldChar w:fldCharType="begin"/>
      </w:r>
      <w:r>
        <w:instrText xml:space="preserve"> SEQ Proposal \* ARABIC </w:instrText>
      </w:r>
      <w:r>
        <w:fldChar w:fldCharType="separate"/>
      </w:r>
      <w:r w:rsidR="0072749C">
        <w:rPr>
          <w:noProof/>
        </w:rPr>
        <w:t>3</w:t>
      </w:r>
      <w:r>
        <w:fldChar w:fldCharType="end"/>
      </w:r>
      <w:r>
        <w:t>: Inform RAN5 via LS to allow only the beam peak search measurement grid requirements to be relaxed based on an optional vendor declaration.</w:t>
      </w:r>
      <w:bookmarkEnd w:id="11"/>
    </w:p>
    <w:p w14:paraId="4402DF31" w14:textId="4FC13809" w:rsidR="00C710A3" w:rsidRDefault="00C710A3" w:rsidP="00C710A3">
      <w:r>
        <w:t xml:space="preserve">The approximate test times for the </w:t>
      </w:r>
      <w:r w:rsidR="00F606D9">
        <w:t>4x2 beam peak searches are as follows:</w:t>
      </w:r>
    </w:p>
    <w:p w14:paraId="428F8BB5" w14:textId="46646745" w:rsidR="00F606D9" w:rsidRDefault="00F606D9" w:rsidP="00F606D9">
      <w:pPr>
        <w:pStyle w:val="ListParagraph"/>
        <w:numPr>
          <w:ilvl w:val="0"/>
          <w:numId w:val="44"/>
        </w:numPr>
      </w:pPr>
      <w:r>
        <w:t>Constant-Step Size: TX ~0.7hrs; RX ~4hrs</w:t>
      </w:r>
    </w:p>
    <w:p w14:paraId="14DA91DE" w14:textId="1D82DF6B" w:rsidR="00F606D9" w:rsidRPr="00C710A3" w:rsidRDefault="00F606D9" w:rsidP="00F606D9">
      <w:pPr>
        <w:pStyle w:val="ListParagraph"/>
        <w:numPr>
          <w:ilvl w:val="0"/>
          <w:numId w:val="44"/>
        </w:numPr>
      </w:pPr>
      <w:r>
        <w:t>Constant Density: TX ~0.5hrs; RX ~3hrs</w:t>
      </w:r>
    </w:p>
    <w:bookmarkEnd w:id="3"/>
    <w:p w14:paraId="35952390" w14:textId="77777777" w:rsidR="008B0529" w:rsidRDefault="0053435C" w:rsidP="0053435C">
      <w:pPr>
        <w:pStyle w:val="Heading1"/>
        <w:ind w:left="567" w:hanging="567"/>
      </w:pPr>
      <w:r>
        <w:t>Conclusion</w:t>
      </w:r>
    </w:p>
    <w:p w14:paraId="35952391" w14:textId="148D0067" w:rsidR="008B0529" w:rsidRDefault="0053435C" w:rsidP="008B0529">
      <w:r>
        <w:t>The following observations and proposals were made in this contribution</w:t>
      </w:r>
    </w:p>
    <w:p w14:paraId="4479BA89" w14:textId="02C3A72E" w:rsidR="00CD16B9" w:rsidRPr="00CD16B9" w:rsidRDefault="00CD16B9">
      <w:pPr>
        <w:spacing w:after="0"/>
        <w:rPr>
          <w:b/>
          <w:bCs/>
        </w:rPr>
      </w:pPr>
      <w:r w:rsidRPr="00CD16B9">
        <w:rPr>
          <w:b/>
          <w:bCs/>
        </w:rPr>
        <w:fldChar w:fldCharType="begin"/>
      </w:r>
      <w:r w:rsidRPr="00CD16B9">
        <w:rPr>
          <w:b/>
          <w:bCs/>
        </w:rPr>
        <w:instrText xml:space="preserve"> REF _Ref59449530 \h </w:instrText>
      </w:r>
      <w:r w:rsidRPr="00CD16B9">
        <w:rPr>
          <w:b/>
          <w:bCs/>
        </w:rPr>
      </w:r>
      <w:r w:rsidRPr="00CD16B9">
        <w:rPr>
          <w:b/>
          <w:bCs/>
        </w:rPr>
        <w:instrText xml:space="preserve"> \* MERGEFORMAT </w:instrText>
      </w:r>
      <w:r w:rsidRPr="00CD16B9">
        <w:rPr>
          <w:b/>
          <w:bCs/>
        </w:rPr>
        <w:fldChar w:fldCharType="separate"/>
      </w:r>
      <w:r w:rsidRPr="00CD16B9">
        <w:rPr>
          <w:b/>
          <w:bCs/>
        </w:rPr>
        <w:t xml:space="preserve">Observation </w:t>
      </w:r>
      <w:r w:rsidRPr="00CD16B9">
        <w:rPr>
          <w:b/>
          <w:bCs/>
          <w:noProof/>
        </w:rPr>
        <w:t>1</w:t>
      </w:r>
      <w:r w:rsidRPr="00CD16B9">
        <w:rPr>
          <w:b/>
          <w:bCs/>
        </w:rPr>
        <w:t>: Revised antenna assumptions (4x2 vs 8x2) for PC3 devices yield a reduction of grid points of ~3 for beam peak searches.</w:t>
      </w:r>
      <w:r w:rsidRPr="00CD16B9">
        <w:rPr>
          <w:b/>
          <w:bCs/>
        </w:rPr>
        <w:fldChar w:fldCharType="end"/>
      </w:r>
    </w:p>
    <w:p w14:paraId="0468DC8A" w14:textId="26F136D3" w:rsidR="00CD16B9" w:rsidRPr="00CD16B9" w:rsidRDefault="00CD16B9">
      <w:pPr>
        <w:spacing w:after="0"/>
        <w:rPr>
          <w:b/>
          <w:bCs/>
        </w:rPr>
      </w:pPr>
      <w:r w:rsidRPr="00CD16B9">
        <w:rPr>
          <w:b/>
          <w:bCs/>
        </w:rPr>
        <w:fldChar w:fldCharType="begin"/>
      </w:r>
      <w:r w:rsidRPr="00CD16B9">
        <w:rPr>
          <w:b/>
          <w:bCs/>
        </w:rPr>
        <w:instrText xml:space="preserve"> REF _Ref61611405 \h </w:instrText>
      </w:r>
      <w:r w:rsidRPr="00CD16B9">
        <w:rPr>
          <w:b/>
          <w:bCs/>
        </w:rPr>
      </w:r>
      <w:r w:rsidRPr="00CD16B9">
        <w:rPr>
          <w:b/>
          <w:bCs/>
        </w:rPr>
        <w:instrText xml:space="preserve"> \* MERGEFORMAT </w:instrText>
      </w:r>
      <w:r w:rsidRPr="00CD16B9">
        <w:rPr>
          <w:b/>
          <w:bCs/>
        </w:rPr>
        <w:fldChar w:fldCharType="separate"/>
      </w:r>
      <w:r w:rsidRPr="00CD16B9">
        <w:rPr>
          <w:b/>
          <w:bCs/>
        </w:rPr>
        <w:t>Proposal</w:t>
      </w:r>
      <w:bookmarkStart w:id="12" w:name="_GoBack"/>
      <w:bookmarkEnd w:id="12"/>
      <w:r w:rsidRPr="00CD16B9">
        <w:rPr>
          <w:b/>
          <w:bCs/>
        </w:rPr>
        <w:t xml:space="preserve"> </w:t>
      </w:r>
      <w:r w:rsidRPr="00CD16B9">
        <w:rPr>
          <w:b/>
          <w:bCs/>
          <w:noProof/>
        </w:rPr>
        <w:t>1</w:t>
      </w:r>
      <w:r w:rsidRPr="00CD16B9">
        <w:rPr>
          <w:b/>
          <w:bCs/>
        </w:rPr>
        <w:t>: Do not adopt the 4x2 array assumption to replace the worst-case 8x2 antenna assumption due to the impact in RAN5 and industry</w:t>
      </w:r>
      <w:r w:rsidRPr="00CD16B9">
        <w:rPr>
          <w:b/>
          <w:bCs/>
        </w:rPr>
        <w:fldChar w:fldCharType="end"/>
      </w:r>
    </w:p>
    <w:p w14:paraId="19ABA9E1" w14:textId="0ED10F74" w:rsidR="00CD16B9" w:rsidRPr="00CD16B9" w:rsidRDefault="00CD16B9">
      <w:pPr>
        <w:spacing w:after="0"/>
        <w:rPr>
          <w:b/>
          <w:bCs/>
        </w:rPr>
      </w:pPr>
      <w:r w:rsidRPr="00CD16B9">
        <w:rPr>
          <w:b/>
          <w:bCs/>
        </w:rPr>
        <w:fldChar w:fldCharType="begin"/>
      </w:r>
      <w:r w:rsidRPr="00CD16B9">
        <w:rPr>
          <w:b/>
          <w:bCs/>
        </w:rPr>
        <w:instrText xml:space="preserve"> REF _Ref59449531 \h </w:instrText>
      </w:r>
      <w:r w:rsidRPr="00CD16B9">
        <w:rPr>
          <w:b/>
          <w:bCs/>
        </w:rPr>
      </w:r>
      <w:r w:rsidRPr="00CD16B9">
        <w:rPr>
          <w:b/>
          <w:bCs/>
        </w:rPr>
        <w:instrText xml:space="preserve"> \* MERGEFORMAT </w:instrText>
      </w:r>
      <w:r w:rsidRPr="00CD16B9">
        <w:rPr>
          <w:b/>
          <w:bCs/>
        </w:rPr>
        <w:fldChar w:fldCharType="separate"/>
      </w:r>
      <w:r w:rsidRPr="00CD16B9">
        <w:rPr>
          <w:b/>
          <w:bCs/>
        </w:rPr>
        <w:t xml:space="preserve">Proposal </w:t>
      </w:r>
      <w:r w:rsidRPr="00CD16B9">
        <w:rPr>
          <w:b/>
          <w:bCs/>
          <w:noProof/>
        </w:rPr>
        <w:t>2</w:t>
      </w:r>
      <w:r w:rsidRPr="00CD16B9">
        <w:rPr>
          <w:b/>
          <w:bCs/>
        </w:rPr>
        <w:t>: Keep the system-related assumptions unchanged in RAN5, i.e., based on the previously agreed worst case 8x2 assumptions.</w:t>
      </w:r>
      <w:r w:rsidRPr="00CD16B9">
        <w:rPr>
          <w:b/>
          <w:bCs/>
        </w:rPr>
        <w:fldChar w:fldCharType="end"/>
      </w:r>
    </w:p>
    <w:p w14:paraId="3A9F0D07" w14:textId="054A949C" w:rsidR="00CD16B9" w:rsidRPr="00CD16B9" w:rsidRDefault="00CD16B9">
      <w:pPr>
        <w:spacing w:after="0"/>
        <w:rPr>
          <w:b/>
          <w:bCs/>
        </w:rPr>
      </w:pPr>
      <w:r w:rsidRPr="00CD16B9">
        <w:rPr>
          <w:b/>
          <w:bCs/>
        </w:rPr>
        <w:fldChar w:fldCharType="begin"/>
      </w:r>
      <w:r w:rsidRPr="00CD16B9">
        <w:rPr>
          <w:b/>
          <w:bCs/>
        </w:rPr>
        <w:instrText xml:space="preserve"> REF _Ref59449532 \h </w:instrText>
      </w:r>
      <w:r w:rsidRPr="00CD16B9">
        <w:rPr>
          <w:b/>
          <w:bCs/>
        </w:rPr>
      </w:r>
      <w:r w:rsidRPr="00CD16B9">
        <w:rPr>
          <w:b/>
          <w:bCs/>
        </w:rPr>
        <w:instrText xml:space="preserve"> \* MERGEFORMAT </w:instrText>
      </w:r>
      <w:r w:rsidRPr="00CD16B9">
        <w:rPr>
          <w:b/>
          <w:bCs/>
        </w:rPr>
        <w:fldChar w:fldCharType="separate"/>
      </w:r>
      <w:r w:rsidRPr="00CD16B9">
        <w:rPr>
          <w:b/>
          <w:bCs/>
        </w:rPr>
        <w:t xml:space="preserve">Proposal </w:t>
      </w:r>
      <w:r w:rsidRPr="00CD16B9">
        <w:rPr>
          <w:b/>
          <w:bCs/>
          <w:noProof/>
        </w:rPr>
        <w:t>3</w:t>
      </w:r>
      <w:r w:rsidRPr="00CD16B9">
        <w:rPr>
          <w:b/>
          <w:bCs/>
        </w:rPr>
        <w:t>: Inform RAN5 via LS to allow only the beam peak search measurement grid requirements to be relaxed based on an optional vendor declaration.</w:t>
      </w:r>
      <w:r w:rsidRPr="00CD16B9">
        <w:rPr>
          <w:b/>
          <w:bCs/>
        </w:rPr>
        <w:fldChar w:fldCharType="end"/>
      </w:r>
    </w:p>
    <w:p w14:paraId="6B2D9652" w14:textId="75DD01E8" w:rsidR="00701AB8" w:rsidRDefault="00701AB8">
      <w:pPr>
        <w:spacing w:after="0"/>
        <w:rPr>
          <w:rFonts w:ascii="Arial" w:hAnsi="Arial"/>
          <w:sz w:val="36"/>
        </w:rPr>
      </w:pPr>
      <w:r>
        <w:br w:type="page"/>
      </w:r>
    </w:p>
    <w:p w14:paraId="35952392" w14:textId="4133616E" w:rsidR="00DD1C07" w:rsidRDefault="00DD1C07" w:rsidP="00DD1C07">
      <w:pPr>
        <w:pStyle w:val="Heading1"/>
        <w:ind w:left="567" w:hanging="567"/>
      </w:pPr>
      <w:r>
        <w:lastRenderedPageBreak/>
        <w:t>References</w:t>
      </w:r>
    </w:p>
    <w:p w14:paraId="60537547" w14:textId="1DE3451B" w:rsidR="009A4E46" w:rsidRPr="00347826" w:rsidRDefault="00C96535" w:rsidP="009A4E46">
      <w:pPr>
        <w:pStyle w:val="ListParagraph"/>
        <w:numPr>
          <w:ilvl w:val="0"/>
          <w:numId w:val="5"/>
        </w:numPr>
        <w:spacing w:after="0" w:line="240" w:lineRule="auto"/>
        <w:rPr>
          <w:rFonts w:eastAsia="Malgun Gothic"/>
          <w:lang w:val="en-GB"/>
        </w:rPr>
      </w:pPr>
      <w:bookmarkStart w:id="13" w:name="_Ref20406919"/>
      <w:bookmarkStart w:id="14" w:name="_Ref59190526"/>
      <w:r w:rsidRPr="006026FE">
        <w:rPr>
          <w:rFonts w:eastAsia="Malgun Gothic"/>
          <w:lang w:val="en-GB"/>
        </w:rPr>
        <w:t>R4-2017597</w:t>
      </w:r>
      <w:r w:rsidR="009A4E46" w:rsidRPr="00347826">
        <w:rPr>
          <w:rFonts w:eastAsia="Malgun Gothic"/>
          <w:lang w:val="en-GB"/>
        </w:rPr>
        <w:t xml:space="preserve">, </w:t>
      </w:r>
      <w:r w:rsidR="006026FE" w:rsidRPr="006026FE">
        <w:rPr>
          <w:rFonts w:eastAsia="Malgun Gothic"/>
          <w:lang w:val="en-GB"/>
        </w:rPr>
        <w:t>WF on testability enhancements to reduce test time</w:t>
      </w:r>
      <w:r w:rsidR="006026FE">
        <w:rPr>
          <w:rFonts w:eastAsia="Malgun Gothic"/>
          <w:lang w:val="en-GB"/>
        </w:rPr>
        <w:t xml:space="preserve">, </w:t>
      </w:r>
      <w:r w:rsidR="006026FE" w:rsidRPr="006026FE">
        <w:rPr>
          <w:rFonts w:eastAsia="Malgun Gothic"/>
          <w:lang w:val="en-GB"/>
        </w:rPr>
        <w:t>vivo, Samsung</w:t>
      </w:r>
      <w:r w:rsidR="009A4E46" w:rsidRPr="00347826">
        <w:rPr>
          <w:rFonts w:eastAsia="Malgun Gothic"/>
          <w:lang w:val="en-GB"/>
        </w:rPr>
        <w:t xml:space="preserve">, </w:t>
      </w:r>
      <w:r w:rsidR="006026FE" w:rsidRPr="006026FE">
        <w:rPr>
          <w:rFonts w:eastAsia="Malgun Gothic"/>
          <w:lang w:val="en-GB"/>
        </w:rPr>
        <w:t>3GPP TSG-RAN WG4 Meeting #97-e</w:t>
      </w:r>
      <w:r w:rsidR="009A4E46" w:rsidRPr="00347826">
        <w:rPr>
          <w:rFonts w:eastAsia="Malgun Gothic"/>
          <w:lang w:val="en-GB"/>
        </w:rPr>
        <w:t xml:space="preserve">, </w:t>
      </w:r>
      <w:r w:rsidR="006026FE">
        <w:rPr>
          <w:rFonts w:eastAsia="Malgun Gothic"/>
          <w:lang w:val="en-GB"/>
        </w:rPr>
        <w:t>November</w:t>
      </w:r>
      <w:r w:rsidR="009A4E46" w:rsidRPr="00347826">
        <w:rPr>
          <w:rFonts w:eastAsia="Malgun Gothic"/>
          <w:lang w:val="en-GB"/>
        </w:rPr>
        <w:t xml:space="preserve"> 20</w:t>
      </w:r>
      <w:bookmarkEnd w:id="13"/>
      <w:r w:rsidR="006026FE">
        <w:rPr>
          <w:rFonts w:eastAsia="Malgun Gothic"/>
          <w:lang w:val="en-GB"/>
        </w:rPr>
        <w:t>20</w:t>
      </w:r>
      <w:bookmarkEnd w:id="14"/>
    </w:p>
    <w:p w14:paraId="59F2854B" w14:textId="1D813EFA" w:rsidR="006026FE" w:rsidRDefault="006026FE" w:rsidP="006026FE">
      <w:pPr>
        <w:pStyle w:val="ListParagraph"/>
        <w:numPr>
          <w:ilvl w:val="0"/>
          <w:numId w:val="5"/>
        </w:numPr>
        <w:spacing w:after="0" w:line="240" w:lineRule="auto"/>
        <w:rPr>
          <w:rFonts w:eastAsia="Malgun Gothic"/>
          <w:lang w:val="en-GB"/>
        </w:rPr>
      </w:pPr>
      <w:bookmarkStart w:id="15" w:name="_Ref59190769"/>
      <w:r w:rsidRPr="006026FE">
        <w:rPr>
          <w:rFonts w:eastAsia="Malgun Gothic"/>
          <w:lang w:val="en-GB"/>
        </w:rPr>
        <w:t>TR38.810, Study on test methods, V16.5.0 (2019-12)</w:t>
      </w:r>
      <w:bookmarkEnd w:id="15"/>
    </w:p>
    <w:p w14:paraId="0259AE21" w14:textId="7231FA0F" w:rsidR="002A1506" w:rsidRPr="006026FE" w:rsidRDefault="002A1506" w:rsidP="006026FE">
      <w:pPr>
        <w:pStyle w:val="ListParagraph"/>
        <w:numPr>
          <w:ilvl w:val="0"/>
          <w:numId w:val="5"/>
        </w:numPr>
        <w:spacing w:after="0" w:line="240" w:lineRule="auto"/>
        <w:rPr>
          <w:rFonts w:eastAsia="Malgun Gothic"/>
          <w:lang w:val="en-GB"/>
        </w:rPr>
      </w:pPr>
      <w:bookmarkStart w:id="16" w:name="_Ref59194940"/>
      <w:r w:rsidRPr="002A1506">
        <w:rPr>
          <w:rFonts w:eastAsia="Malgun Gothic"/>
          <w:lang w:val="en-GB"/>
        </w:rPr>
        <w:t>R4-1802332</w:t>
      </w:r>
      <w:r>
        <w:rPr>
          <w:rFonts w:eastAsia="Malgun Gothic"/>
          <w:lang w:val="en-GB"/>
        </w:rPr>
        <w:t xml:space="preserve">, </w:t>
      </w:r>
      <w:r w:rsidRPr="002A1506">
        <w:rPr>
          <w:rFonts w:eastAsia="Malgun Gothic"/>
          <w:lang w:val="en-GB"/>
        </w:rPr>
        <w:t>On Constant Density TRP Measurement Grids for mm-wave</w:t>
      </w:r>
      <w:r>
        <w:rPr>
          <w:rFonts w:eastAsia="Malgun Gothic"/>
          <w:lang w:val="en-GB"/>
        </w:rPr>
        <w:t xml:space="preserve">, </w:t>
      </w:r>
      <w:r w:rsidRPr="002A1506">
        <w:rPr>
          <w:rFonts w:eastAsia="Malgun Gothic"/>
          <w:lang w:val="en-GB"/>
        </w:rPr>
        <w:t>Rohde &amp; Schwarz</w:t>
      </w:r>
      <w:r>
        <w:rPr>
          <w:rFonts w:eastAsia="Malgun Gothic"/>
          <w:lang w:val="en-GB"/>
        </w:rPr>
        <w:t xml:space="preserve">, </w:t>
      </w:r>
      <w:r w:rsidRPr="002A1506">
        <w:rPr>
          <w:rFonts w:eastAsia="Malgun Gothic"/>
          <w:lang w:val="en-GB"/>
        </w:rPr>
        <w:t>3GPP TSG RAN WG4 Meeting #86</w:t>
      </w:r>
      <w:r>
        <w:rPr>
          <w:rFonts w:eastAsia="Malgun Gothic"/>
          <w:lang w:val="en-GB"/>
        </w:rPr>
        <w:t>, March 2018</w:t>
      </w:r>
      <w:bookmarkEnd w:id="16"/>
    </w:p>
    <w:p w14:paraId="35952393" w14:textId="7D604F1B" w:rsidR="000547AB" w:rsidRDefault="002A1506" w:rsidP="006026FE">
      <w:pPr>
        <w:pStyle w:val="ListParagraph"/>
        <w:numPr>
          <w:ilvl w:val="0"/>
          <w:numId w:val="5"/>
        </w:numPr>
        <w:spacing w:after="0" w:line="240" w:lineRule="auto"/>
        <w:rPr>
          <w:rFonts w:eastAsia="Malgun Gothic"/>
          <w:lang w:val="en-GB"/>
        </w:rPr>
      </w:pPr>
      <w:bookmarkStart w:id="17" w:name="_Ref59194947"/>
      <w:r w:rsidRPr="002A1506">
        <w:rPr>
          <w:rFonts w:eastAsia="Malgun Gothic"/>
          <w:lang w:val="en-GB"/>
        </w:rPr>
        <w:t>R4-1805995</w:t>
      </w:r>
      <w:r>
        <w:rPr>
          <w:rFonts w:eastAsia="Malgun Gothic"/>
          <w:lang w:val="en-GB"/>
        </w:rPr>
        <w:t xml:space="preserve">, </w:t>
      </w:r>
      <w:r w:rsidRPr="002A1506">
        <w:rPr>
          <w:rFonts w:eastAsia="Malgun Gothic"/>
          <w:lang w:val="en-GB"/>
        </w:rPr>
        <w:t xml:space="preserve">Way Forward on Measurement Grids for </w:t>
      </w:r>
      <w:proofErr w:type="spellStart"/>
      <w:r w:rsidRPr="002A1506">
        <w:rPr>
          <w:rFonts w:eastAsia="Malgun Gothic"/>
          <w:lang w:val="en-GB"/>
        </w:rPr>
        <w:t>non sparse</w:t>
      </w:r>
      <w:proofErr w:type="spellEnd"/>
      <w:r w:rsidRPr="002A1506">
        <w:rPr>
          <w:rFonts w:eastAsia="Malgun Gothic"/>
          <w:lang w:val="en-GB"/>
        </w:rPr>
        <w:t xml:space="preserve"> antenna arrays</w:t>
      </w:r>
      <w:r>
        <w:rPr>
          <w:rFonts w:eastAsia="Malgun Gothic"/>
          <w:lang w:val="en-GB"/>
        </w:rPr>
        <w:t xml:space="preserve">, </w:t>
      </w:r>
      <w:r w:rsidRPr="002A1506">
        <w:rPr>
          <w:rFonts w:eastAsia="Malgun Gothic"/>
          <w:lang w:val="en-GB"/>
        </w:rPr>
        <w:t>Rohde&amp;Schwarz, Anritsu, Intel, Keysight Technologies</w:t>
      </w:r>
      <w:r>
        <w:rPr>
          <w:rFonts w:eastAsia="Malgun Gothic"/>
          <w:lang w:val="en-GB"/>
        </w:rPr>
        <w:t xml:space="preserve">, </w:t>
      </w:r>
      <w:r w:rsidRPr="002A1506">
        <w:rPr>
          <w:rFonts w:eastAsia="Malgun Gothic"/>
          <w:lang w:val="en-GB"/>
        </w:rPr>
        <w:t>3GPP TSG-RAN WG4 Meeting #86bis</w:t>
      </w:r>
      <w:r>
        <w:rPr>
          <w:rFonts w:eastAsia="Malgun Gothic"/>
          <w:lang w:val="en-GB"/>
        </w:rPr>
        <w:t>, April 2018</w:t>
      </w:r>
      <w:bookmarkEnd w:id="17"/>
    </w:p>
    <w:p w14:paraId="2B8A50B2" w14:textId="77777777" w:rsidR="00E54E70" w:rsidRPr="00E54E70" w:rsidRDefault="00E54E70" w:rsidP="00E54E70">
      <w:pPr>
        <w:pStyle w:val="ListParagraph"/>
        <w:numPr>
          <w:ilvl w:val="0"/>
          <w:numId w:val="5"/>
        </w:numPr>
        <w:rPr>
          <w:rFonts w:eastAsia="Malgun Gothic"/>
          <w:lang w:val="en-GB"/>
        </w:rPr>
      </w:pPr>
      <w:bookmarkStart w:id="18" w:name="_Ref59444468"/>
      <w:r w:rsidRPr="00E54E70">
        <w:rPr>
          <w:rFonts w:eastAsia="Malgun Gothic"/>
          <w:lang w:val="en-GB"/>
        </w:rPr>
        <w:t>TR 38.903, Derivation of test tolerances and measurement uncertainty for User Equipment (UE) conformance test cases, V16.4.0 (2020-06)</w:t>
      </w:r>
      <w:bookmarkEnd w:id="18"/>
    </w:p>
    <w:p w14:paraId="72C7B9EA" w14:textId="21F99276" w:rsidR="00E54E70" w:rsidRPr="006026FE" w:rsidRDefault="002105E8" w:rsidP="006026FE">
      <w:pPr>
        <w:pStyle w:val="ListParagraph"/>
        <w:numPr>
          <w:ilvl w:val="0"/>
          <w:numId w:val="5"/>
        </w:numPr>
        <w:spacing w:after="0" w:line="240" w:lineRule="auto"/>
        <w:rPr>
          <w:rFonts w:eastAsia="Malgun Gothic"/>
          <w:lang w:val="en-GB"/>
        </w:rPr>
      </w:pPr>
      <w:bookmarkStart w:id="19" w:name="_Ref59196474"/>
      <w:r w:rsidRPr="002105E8">
        <w:rPr>
          <w:rFonts w:eastAsia="Malgun Gothic"/>
          <w:lang w:val="en-GB"/>
        </w:rPr>
        <w:t>R4-1816261</w:t>
      </w:r>
      <w:r>
        <w:rPr>
          <w:rFonts w:eastAsia="Malgun Gothic"/>
          <w:lang w:val="en-GB"/>
        </w:rPr>
        <w:t xml:space="preserve">, </w:t>
      </w:r>
      <w:r w:rsidRPr="002105E8">
        <w:rPr>
          <w:rFonts w:eastAsia="Malgun Gothic"/>
          <w:lang w:val="en-GB"/>
        </w:rPr>
        <w:t>On Beam Peak Search Measurement Grids</w:t>
      </w:r>
      <w:r>
        <w:rPr>
          <w:rFonts w:eastAsia="Malgun Gothic"/>
          <w:lang w:val="en-GB"/>
        </w:rPr>
        <w:t xml:space="preserve">, Keysight Technologies, </w:t>
      </w:r>
      <w:r w:rsidRPr="002105E8">
        <w:rPr>
          <w:rFonts w:eastAsia="Malgun Gothic"/>
          <w:lang w:val="en-GB"/>
        </w:rPr>
        <w:t>3GPP TSG-RAN WG4 Meeting #89</w:t>
      </w:r>
      <w:r>
        <w:rPr>
          <w:rFonts w:eastAsia="Malgun Gothic"/>
          <w:lang w:val="en-GB"/>
        </w:rPr>
        <w:t>, November 2018</w:t>
      </w:r>
      <w:bookmarkEnd w:id="19"/>
    </w:p>
    <w:sectPr w:rsidR="00E54E70" w:rsidRPr="006026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B93426"/>
    <w:multiLevelType w:val="hybridMultilevel"/>
    <w:tmpl w:val="37CA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6C4B549B"/>
    <w:multiLevelType w:val="hybridMultilevel"/>
    <w:tmpl w:val="F1A86DAA"/>
    <w:lvl w:ilvl="0" w:tplc="A2AAD0DA">
      <w:start w:val="1"/>
      <w:numFmt w:val="bullet"/>
      <w:lvlText w:val="–"/>
      <w:lvlJc w:val="left"/>
      <w:pPr>
        <w:tabs>
          <w:tab w:val="num" w:pos="360"/>
        </w:tabs>
        <w:ind w:left="360" w:hanging="360"/>
      </w:pPr>
      <w:rPr>
        <w:rFonts w:ascii="Arial" w:hAnsi="Arial" w:hint="default"/>
      </w:rPr>
    </w:lvl>
    <w:lvl w:ilvl="1" w:tplc="CD526FAA">
      <w:start w:val="1"/>
      <w:numFmt w:val="bullet"/>
      <w:lvlText w:val="–"/>
      <w:lvlJc w:val="left"/>
      <w:pPr>
        <w:tabs>
          <w:tab w:val="num" w:pos="1080"/>
        </w:tabs>
        <w:ind w:left="1080" w:hanging="360"/>
      </w:pPr>
      <w:rPr>
        <w:rFonts w:ascii="Arial" w:hAnsi="Arial" w:hint="default"/>
      </w:rPr>
    </w:lvl>
    <w:lvl w:ilvl="2" w:tplc="37F40D6E" w:tentative="1">
      <w:start w:val="1"/>
      <w:numFmt w:val="bullet"/>
      <w:lvlText w:val="–"/>
      <w:lvlJc w:val="left"/>
      <w:pPr>
        <w:tabs>
          <w:tab w:val="num" w:pos="1800"/>
        </w:tabs>
        <w:ind w:left="1800" w:hanging="360"/>
      </w:pPr>
      <w:rPr>
        <w:rFonts w:ascii="Arial" w:hAnsi="Arial" w:hint="default"/>
      </w:rPr>
    </w:lvl>
    <w:lvl w:ilvl="3" w:tplc="BB4E2164" w:tentative="1">
      <w:start w:val="1"/>
      <w:numFmt w:val="bullet"/>
      <w:lvlText w:val="–"/>
      <w:lvlJc w:val="left"/>
      <w:pPr>
        <w:tabs>
          <w:tab w:val="num" w:pos="2520"/>
        </w:tabs>
        <w:ind w:left="2520" w:hanging="360"/>
      </w:pPr>
      <w:rPr>
        <w:rFonts w:ascii="Arial" w:hAnsi="Arial" w:hint="default"/>
      </w:rPr>
    </w:lvl>
    <w:lvl w:ilvl="4" w:tplc="78CA7064" w:tentative="1">
      <w:start w:val="1"/>
      <w:numFmt w:val="bullet"/>
      <w:lvlText w:val="–"/>
      <w:lvlJc w:val="left"/>
      <w:pPr>
        <w:tabs>
          <w:tab w:val="num" w:pos="3240"/>
        </w:tabs>
        <w:ind w:left="3240" w:hanging="360"/>
      </w:pPr>
      <w:rPr>
        <w:rFonts w:ascii="Arial" w:hAnsi="Arial" w:hint="default"/>
      </w:rPr>
    </w:lvl>
    <w:lvl w:ilvl="5" w:tplc="2988AAB0" w:tentative="1">
      <w:start w:val="1"/>
      <w:numFmt w:val="bullet"/>
      <w:lvlText w:val="–"/>
      <w:lvlJc w:val="left"/>
      <w:pPr>
        <w:tabs>
          <w:tab w:val="num" w:pos="3960"/>
        </w:tabs>
        <w:ind w:left="3960" w:hanging="360"/>
      </w:pPr>
      <w:rPr>
        <w:rFonts w:ascii="Arial" w:hAnsi="Arial" w:hint="default"/>
      </w:rPr>
    </w:lvl>
    <w:lvl w:ilvl="6" w:tplc="CE38E14A" w:tentative="1">
      <w:start w:val="1"/>
      <w:numFmt w:val="bullet"/>
      <w:lvlText w:val="–"/>
      <w:lvlJc w:val="left"/>
      <w:pPr>
        <w:tabs>
          <w:tab w:val="num" w:pos="4680"/>
        </w:tabs>
        <w:ind w:left="4680" w:hanging="360"/>
      </w:pPr>
      <w:rPr>
        <w:rFonts w:ascii="Arial" w:hAnsi="Arial" w:hint="default"/>
      </w:rPr>
    </w:lvl>
    <w:lvl w:ilvl="7" w:tplc="525849AC" w:tentative="1">
      <w:start w:val="1"/>
      <w:numFmt w:val="bullet"/>
      <w:lvlText w:val="–"/>
      <w:lvlJc w:val="left"/>
      <w:pPr>
        <w:tabs>
          <w:tab w:val="num" w:pos="5400"/>
        </w:tabs>
        <w:ind w:left="5400" w:hanging="360"/>
      </w:pPr>
      <w:rPr>
        <w:rFonts w:ascii="Arial" w:hAnsi="Arial" w:hint="default"/>
      </w:rPr>
    </w:lvl>
    <w:lvl w:ilvl="8" w:tplc="B10A391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252A1"/>
    <w:multiLevelType w:val="hybridMultilevel"/>
    <w:tmpl w:val="761E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4"/>
  </w:num>
  <w:num w:numId="15">
    <w:abstractNumId w:val="11"/>
  </w:num>
  <w:num w:numId="16">
    <w:abstractNumId w:val="32"/>
  </w:num>
  <w:num w:numId="17">
    <w:abstractNumId w:val="8"/>
  </w:num>
  <w:num w:numId="18">
    <w:abstractNumId w:val="23"/>
  </w:num>
  <w:num w:numId="19">
    <w:abstractNumId w:val="19"/>
  </w:num>
  <w:num w:numId="20">
    <w:abstractNumId w:val="24"/>
  </w:num>
  <w:num w:numId="21">
    <w:abstractNumId w:val="31"/>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7"/>
  </w:num>
  <w:num w:numId="32">
    <w:abstractNumId w:val="29"/>
  </w:num>
  <w:num w:numId="33">
    <w:abstractNumId w:val="36"/>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33"/>
  </w:num>
  <w:num w:numId="41">
    <w:abstractNumId w:val="30"/>
  </w:num>
  <w:num w:numId="42">
    <w:abstractNumId w:val="26"/>
  </w:num>
  <w:num w:numId="43">
    <w:abstractNumId w:val="4"/>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22F4"/>
    <w:rsid w:val="000439E6"/>
    <w:rsid w:val="0004477C"/>
    <w:rsid w:val="0004678D"/>
    <w:rsid w:val="00052390"/>
    <w:rsid w:val="000547AB"/>
    <w:rsid w:val="0005509D"/>
    <w:rsid w:val="00055873"/>
    <w:rsid w:val="00056560"/>
    <w:rsid w:val="0005725C"/>
    <w:rsid w:val="000606FD"/>
    <w:rsid w:val="00064500"/>
    <w:rsid w:val="00077333"/>
    <w:rsid w:val="000820B4"/>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5E8"/>
    <w:rsid w:val="00210D55"/>
    <w:rsid w:val="0021155C"/>
    <w:rsid w:val="00212373"/>
    <w:rsid w:val="002138EA"/>
    <w:rsid w:val="00214FBD"/>
    <w:rsid w:val="00222897"/>
    <w:rsid w:val="0022419C"/>
    <w:rsid w:val="00225A71"/>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1506"/>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871"/>
    <w:rsid w:val="00326CFF"/>
    <w:rsid w:val="00331E19"/>
    <w:rsid w:val="00332820"/>
    <w:rsid w:val="003340C5"/>
    <w:rsid w:val="0033593B"/>
    <w:rsid w:val="00342EC7"/>
    <w:rsid w:val="00343C3B"/>
    <w:rsid w:val="00344657"/>
    <w:rsid w:val="00344BCD"/>
    <w:rsid w:val="003450DD"/>
    <w:rsid w:val="00345617"/>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6BE5"/>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11FE"/>
    <w:rsid w:val="004B27EC"/>
    <w:rsid w:val="004C2A16"/>
    <w:rsid w:val="004D0FD5"/>
    <w:rsid w:val="004D16F9"/>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34686"/>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26FE"/>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1AB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49C"/>
    <w:rsid w:val="00727593"/>
    <w:rsid w:val="00727A8D"/>
    <w:rsid w:val="00730547"/>
    <w:rsid w:val="00735C81"/>
    <w:rsid w:val="00736A17"/>
    <w:rsid w:val="007373B0"/>
    <w:rsid w:val="007403F2"/>
    <w:rsid w:val="00741775"/>
    <w:rsid w:val="00744CC1"/>
    <w:rsid w:val="0074650E"/>
    <w:rsid w:val="00747AD4"/>
    <w:rsid w:val="00752FA3"/>
    <w:rsid w:val="00753A10"/>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A6C37"/>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2628"/>
    <w:rsid w:val="00B0589A"/>
    <w:rsid w:val="00B14BC8"/>
    <w:rsid w:val="00B1707D"/>
    <w:rsid w:val="00B20C57"/>
    <w:rsid w:val="00B21D87"/>
    <w:rsid w:val="00B22ADA"/>
    <w:rsid w:val="00B240E1"/>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10A3"/>
    <w:rsid w:val="00C76F04"/>
    <w:rsid w:val="00C804C3"/>
    <w:rsid w:val="00C807DB"/>
    <w:rsid w:val="00C81268"/>
    <w:rsid w:val="00C83771"/>
    <w:rsid w:val="00C87851"/>
    <w:rsid w:val="00C93744"/>
    <w:rsid w:val="00C958F3"/>
    <w:rsid w:val="00C96535"/>
    <w:rsid w:val="00CA3A27"/>
    <w:rsid w:val="00CA517A"/>
    <w:rsid w:val="00CB0D58"/>
    <w:rsid w:val="00CB29E4"/>
    <w:rsid w:val="00CB5BF2"/>
    <w:rsid w:val="00CC15A4"/>
    <w:rsid w:val="00CC28A9"/>
    <w:rsid w:val="00CC6580"/>
    <w:rsid w:val="00CC6FE0"/>
    <w:rsid w:val="00CC75FD"/>
    <w:rsid w:val="00CD16B9"/>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0777"/>
    <w:rsid w:val="00E54E70"/>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A4DE8"/>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76C9"/>
    <w:rsid w:val="00F606D9"/>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0C6"/>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48287">
      <w:bodyDiv w:val="1"/>
      <w:marLeft w:val="0"/>
      <w:marRight w:val="0"/>
      <w:marTop w:val="0"/>
      <w:marBottom w:val="0"/>
      <w:divBdr>
        <w:top w:val="none" w:sz="0" w:space="0" w:color="auto"/>
        <w:left w:val="none" w:sz="0" w:space="0" w:color="auto"/>
        <w:bottom w:val="none" w:sz="0" w:space="0" w:color="auto"/>
        <w:right w:val="none" w:sz="0" w:space="0" w:color="auto"/>
      </w:divBdr>
    </w:div>
    <w:div w:id="180314226">
      <w:bodyDiv w:val="1"/>
      <w:marLeft w:val="0"/>
      <w:marRight w:val="0"/>
      <w:marTop w:val="0"/>
      <w:marBottom w:val="0"/>
      <w:divBdr>
        <w:top w:val="none" w:sz="0" w:space="0" w:color="auto"/>
        <w:left w:val="none" w:sz="0" w:space="0" w:color="auto"/>
        <w:bottom w:val="none" w:sz="0" w:space="0" w:color="auto"/>
        <w:right w:val="none" w:sz="0" w:space="0" w:color="auto"/>
      </w:divBdr>
    </w:div>
    <w:div w:id="222254209">
      <w:bodyDiv w:val="1"/>
      <w:marLeft w:val="0"/>
      <w:marRight w:val="0"/>
      <w:marTop w:val="0"/>
      <w:marBottom w:val="0"/>
      <w:divBdr>
        <w:top w:val="none" w:sz="0" w:space="0" w:color="auto"/>
        <w:left w:val="none" w:sz="0" w:space="0" w:color="auto"/>
        <w:bottom w:val="none" w:sz="0" w:space="0" w:color="auto"/>
        <w:right w:val="none" w:sz="0" w:space="0" w:color="auto"/>
      </w:divBdr>
    </w:div>
    <w:div w:id="468591791">
      <w:bodyDiv w:val="1"/>
      <w:marLeft w:val="0"/>
      <w:marRight w:val="0"/>
      <w:marTop w:val="0"/>
      <w:marBottom w:val="0"/>
      <w:divBdr>
        <w:top w:val="none" w:sz="0" w:space="0" w:color="auto"/>
        <w:left w:val="none" w:sz="0" w:space="0" w:color="auto"/>
        <w:bottom w:val="none" w:sz="0" w:space="0" w:color="auto"/>
        <w:right w:val="none" w:sz="0" w:space="0" w:color="auto"/>
      </w:divBdr>
    </w:div>
    <w:div w:id="705570652">
      <w:bodyDiv w:val="1"/>
      <w:marLeft w:val="0"/>
      <w:marRight w:val="0"/>
      <w:marTop w:val="0"/>
      <w:marBottom w:val="0"/>
      <w:divBdr>
        <w:top w:val="none" w:sz="0" w:space="0" w:color="auto"/>
        <w:left w:val="none" w:sz="0" w:space="0" w:color="auto"/>
        <w:bottom w:val="none" w:sz="0" w:space="0" w:color="auto"/>
        <w:right w:val="none" w:sz="0" w:space="0" w:color="auto"/>
      </w:divBdr>
      <w:divsChild>
        <w:div w:id="399334098">
          <w:marLeft w:val="1166"/>
          <w:marRight w:val="0"/>
          <w:marTop w:val="86"/>
          <w:marBottom w:val="0"/>
          <w:divBdr>
            <w:top w:val="none" w:sz="0" w:space="0" w:color="auto"/>
            <w:left w:val="none" w:sz="0" w:space="0" w:color="auto"/>
            <w:bottom w:val="none" w:sz="0" w:space="0" w:color="auto"/>
            <w:right w:val="none" w:sz="0" w:space="0" w:color="auto"/>
          </w:divBdr>
        </w:div>
        <w:div w:id="1825660445">
          <w:marLeft w:val="1166"/>
          <w:marRight w:val="0"/>
          <w:marTop w:val="86"/>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4329659">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96456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4.xml><?xml version="1.0" encoding="utf-8"?>
<ds:datastoreItem xmlns:ds="http://schemas.openxmlformats.org/officeDocument/2006/customXml" ds:itemID="{072CD763-EF3C-473E-B2FB-23EF2CDF5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Pages>
  <Words>1158</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28</cp:revision>
  <dcterms:created xsi:type="dcterms:W3CDTF">2019-06-30T20:45:00Z</dcterms:created>
  <dcterms:modified xsi:type="dcterms:W3CDTF">2021-01-15T21:56:00Z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